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19" w:rsidRPr="0012484C" w:rsidRDefault="00CF7619" w:rsidP="0068104D">
      <w:pPr>
        <w:jc w:val="center"/>
        <w:rPr>
          <w:lang w:val="fr-FR"/>
        </w:rPr>
      </w:pPr>
    </w:p>
    <w:p w:rsidR="00CF7619" w:rsidRPr="0012484C" w:rsidRDefault="00CF7619" w:rsidP="0068104D">
      <w:pPr>
        <w:jc w:val="center"/>
        <w:rPr>
          <w:lang w:val="fr-FR"/>
        </w:rPr>
      </w:pPr>
    </w:p>
    <w:p w:rsidR="00CF7619" w:rsidRPr="00685582" w:rsidRDefault="00CF7619" w:rsidP="0068104D">
      <w:pPr>
        <w:jc w:val="center"/>
        <w:rPr>
          <w:lang w:val="fr-FR"/>
        </w:rPr>
      </w:pPr>
    </w:p>
    <w:p w:rsidR="00CF7619" w:rsidRPr="00685582" w:rsidRDefault="00CF7619" w:rsidP="0068104D">
      <w:pPr>
        <w:jc w:val="center"/>
        <w:rPr>
          <w:lang w:val="fr-FR"/>
        </w:rPr>
      </w:pPr>
      <w:r>
        <w:rPr>
          <w:lang w:val="fr-FR"/>
        </w:rPr>
        <w:t>DEUXIÈME SECTION</w:t>
      </w:r>
    </w:p>
    <w:p w:rsidR="00CF7619" w:rsidRDefault="00CF7619" w:rsidP="0068104D">
      <w:pPr>
        <w:jc w:val="center"/>
        <w:rPr>
          <w:lang w:val="fr-FR"/>
        </w:rPr>
      </w:pPr>
    </w:p>
    <w:p w:rsidR="00CF7619" w:rsidRDefault="00CF7619" w:rsidP="0068104D">
      <w:pPr>
        <w:jc w:val="center"/>
        <w:rPr>
          <w:lang w:val="fr-FR"/>
        </w:rPr>
      </w:pPr>
    </w:p>
    <w:p w:rsidR="00CF7619" w:rsidRDefault="00CF7619" w:rsidP="0068104D">
      <w:pPr>
        <w:jc w:val="center"/>
        <w:rPr>
          <w:lang w:val="fr-FR"/>
        </w:rPr>
      </w:pPr>
    </w:p>
    <w:p w:rsidR="00CF7619" w:rsidRDefault="00CF7619" w:rsidP="0068104D">
      <w:pPr>
        <w:jc w:val="center"/>
        <w:rPr>
          <w:lang w:val="fr-FR"/>
        </w:rPr>
      </w:pPr>
    </w:p>
    <w:p w:rsidR="00CF7619" w:rsidRDefault="00CF7619" w:rsidP="0068104D">
      <w:pPr>
        <w:jc w:val="center"/>
        <w:rPr>
          <w:lang w:val="fr-FR"/>
        </w:rPr>
      </w:pPr>
    </w:p>
    <w:p w:rsidR="00CF7619" w:rsidRDefault="00CF7619" w:rsidP="0068104D">
      <w:pPr>
        <w:jc w:val="center"/>
        <w:rPr>
          <w:lang w:val="fr-FR"/>
        </w:rPr>
      </w:pPr>
    </w:p>
    <w:p w:rsidR="00CF7619" w:rsidRDefault="00CF7619" w:rsidP="0068104D">
      <w:pPr>
        <w:jc w:val="center"/>
        <w:rPr>
          <w:lang w:val="fr-FR"/>
        </w:rPr>
      </w:pPr>
    </w:p>
    <w:p w:rsidR="00CF7619" w:rsidRPr="00685582" w:rsidRDefault="00CF7619" w:rsidP="0068104D">
      <w:pPr>
        <w:jc w:val="center"/>
        <w:rPr>
          <w:lang w:val="fr-FR"/>
        </w:rPr>
      </w:pPr>
    </w:p>
    <w:p w:rsidR="00CF7619" w:rsidRPr="00685582" w:rsidRDefault="00CF7619" w:rsidP="0068104D">
      <w:pPr>
        <w:jc w:val="center"/>
        <w:rPr>
          <w:b/>
          <w:lang w:val="fr-FR"/>
        </w:rPr>
      </w:pPr>
      <w:bookmarkStart w:id="0" w:name="To"/>
      <w:r w:rsidRPr="00685582">
        <w:rPr>
          <w:b/>
          <w:lang w:val="fr-FR"/>
        </w:rPr>
        <w:t xml:space="preserve">AFFAIRE </w:t>
      </w:r>
      <w:bookmarkEnd w:id="0"/>
      <w:r>
        <w:rPr>
          <w:b/>
          <w:lang w:val="fr-FR"/>
        </w:rPr>
        <w:t>GUADAGNO ET AUTRES c. ITALIE</w:t>
      </w:r>
    </w:p>
    <w:p w:rsidR="00CF7619" w:rsidRPr="00685582" w:rsidRDefault="00CF7619" w:rsidP="0068104D">
      <w:pPr>
        <w:jc w:val="center"/>
        <w:rPr>
          <w:lang w:val="fr-FR"/>
        </w:rPr>
      </w:pPr>
    </w:p>
    <w:p w:rsidR="00CF7619" w:rsidRDefault="00CF7619" w:rsidP="00F97FF1">
      <w:pPr>
        <w:jc w:val="center"/>
        <w:rPr>
          <w:i/>
          <w:lang w:val="fr-FR"/>
        </w:rPr>
      </w:pPr>
      <w:r w:rsidRPr="00685582">
        <w:rPr>
          <w:i/>
          <w:lang w:val="fr-FR"/>
        </w:rPr>
        <w:t>(Requête n</w:t>
      </w:r>
      <w:r w:rsidRPr="00685582">
        <w:rPr>
          <w:i/>
          <w:vertAlign w:val="superscript"/>
          <w:lang w:val="fr-FR"/>
        </w:rPr>
        <w:t>o</w:t>
      </w:r>
      <w:r w:rsidRPr="00685582">
        <w:rPr>
          <w:i/>
          <w:lang w:val="fr-FR"/>
        </w:rPr>
        <w:t xml:space="preserve"> </w:t>
      </w:r>
      <w:r>
        <w:rPr>
          <w:i/>
          <w:lang w:val="fr-FR"/>
        </w:rPr>
        <w:t>61820/08</w:t>
      </w:r>
      <w:r w:rsidRPr="00685582">
        <w:rPr>
          <w:i/>
          <w:lang w:val="fr-FR"/>
        </w:rPr>
        <w:t>)</w:t>
      </w:r>
    </w:p>
    <w:p w:rsidR="00CF7619" w:rsidRDefault="00CF7619" w:rsidP="00F97FF1">
      <w:pPr>
        <w:jc w:val="center"/>
        <w:rPr>
          <w:rFonts w:eastAsia="Times New Roman"/>
          <w:bCs/>
          <w:color w:val="000000"/>
          <w:szCs w:val="24"/>
          <w:lang w:val="fr-FR" w:eastAsia="en-GB"/>
        </w:rPr>
      </w:pPr>
    </w:p>
    <w:p w:rsidR="00CF7619" w:rsidRDefault="00CF7619" w:rsidP="00F97FF1">
      <w:pPr>
        <w:jc w:val="center"/>
        <w:rPr>
          <w:rFonts w:eastAsia="Times New Roman"/>
          <w:bCs/>
          <w:color w:val="000000"/>
          <w:szCs w:val="24"/>
          <w:lang w:val="fr-FR" w:eastAsia="en-GB"/>
        </w:rPr>
      </w:pPr>
    </w:p>
    <w:p w:rsidR="00CF7619" w:rsidRDefault="00CF7619" w:rsidP="00F97FF1">
      <w:pPr>
        <w:jc w:val="center"/>
        <w:rPr>
          <w:rFonts w:eastAsia="Times New Roman"/>
          <w:bCs/>
          <w:color w:val="000000"/>
          <w:szCs w:val="24"/>
          <w:lang w:val="fr-FR" w:eastAsia="en-GB"/>
        </w:rPr>
      </w:pPr>
    </w:p>
    <w:p w:rsidR="00CF7619" w:rsidRDefault="00CF7619" w:rsidP="00F97FF1">
      <w:pPr>
        <w:jc w:val="center"/>
        <w:rPr>
          <w:rFonts w:eastAsia="Times New Roman"/>
          <w:bCs/>
          <w:color w:val="000000"/>
          <w:szCs w:val="24"/>
          <w:lang w:val="fr-FR" w:eastAsia="en-GB"/>
        </w:rPr>
      </w:pPr>
    </w:p>
    <w:p w:rsidR="00CF7619" w:rsidRDefault="00CF7619" w:rsidP="00F97FF1">
      <w:pPr>
        <w:jc w:val="center"/>
        <w:rPr>
          <w:rFonts w:eastAsia="Times New Roman"/>
          <w:bCs/>
          <w:color w:val="000000"/>
          <w:szCs w:val="24"/>
          <w:lang w:val="fr-FR" w:eastAsia="en-GB"/>
        </w:rPr>
      </w:pPr>
    </w:p>
    <w:p w:rsidR="00CF7619" w:rsidRDefault="00CF7619" w:rsidP="00F97FF1">
      <w:pPr>
        <w:jc w:val="center"/>
        <w:rPr>
          <w:rFonts w:eastAsia="Times New Roman"/>
          <w:bCs/>
          <w:color w:val="000000"/>
          <w:szCs w:val="24"/>
          <w:lang w:val="fr-FR" w:eastAsia="en-GB"/>
        </w:rPr>
      </w:pPr>
    </w:p>
    <w:p w:rsidR="00CF7619" w:rsidRDefault="00CF7619" w:rsidP="00F97FF1">
      <w:pPr>
        <w:jc w:val="center"/>
        <w:rPr>
          <w:rFonts w:eastAsia="Times New Roman"/>
          <w:bCs/>
          <w:color w:val="000000"/>
          <w:szCs w:val="24"/>
          <w:lang w:val="fr-FR" w:eastAsia="en-GB"/>
        </w:rPr>
      </w:pPr>
    </w:p>
    <w:p w:rsidR="00CF7619" w:rsidRDefault="00CF7619" w:rsidP="00F97FF1">
      <w:pPr>
        <w:jc w:val="center"/>
        <w:rPr>
          <w:rFonts w:eastAsia="Times New Roman"/>
          <w:bCs/>
          <w:color w:val="000000"/>
          <w:szCs w:val="24"/>
          <w:lang w:val="fr-FR" w:eastAsia="en-GB"/>
        </w:rPr>
      </w:pPr>
    </w:p>
    <w:p w:rsidR="00CF7619" w:rsidRPr="00F97FF1" w:rsidRDefault="00CF7619" w:rsidP="00F97FF1">
      <w:pPr>
        <w:jc w:val="center"/>
        <w:rPr>
          <w:rFonts w:eastAsia="Times New Roman"/>
          <w:bCs/>
          <w:color w:val="000000"/>
          <w:szCs w:val="24"/>
          <w:lang w:val="fr-FR" w:eastAsia="en-GB"/>
        </w:rPr>
      </w:pPr>
      <w:r>
        <w:rPr>
          <w:rFonts w:eastAsia="Times New Roman"/>
          <w:bCs/>
          <w:color w:val="000000"/>
          <w:szCs w:val="24"/>
          <w:lang w:val="fr-FR" w:eastAsia="en-GB"/>
        </w:rPr>
        <w:t>ARRÊT</w:t>
      </w:r>
    </w:p>
    <w:p w:rsidR="00CF7619" w:rsidRPr="00F97FF1" w:rsidRDefault="00CF7619" w:rsidP="00F97FF1">
      <w:pPr>
        <w:jc w:val="center"/>
        <w:rPr>
          <w:rFonts w:eastAsia="Times New Roman"/>
          <w:bCs/>
          <w:color w:val="000000"/>
          <w:szCs w:val="24"/>
          <w:lang w:val="fr-FR" w:eastAsia="en-GB"/>
        </w:rPr>
      </w:pPr>
    </w:p>
    <w:p w:rsidR="00CF7619" w:rsidRDefault="00CF7619" w:rsidP="00F97FF1">
      <w:pPr>
        <w:jc w:val="center"/>
        <w:rPr>
          <w:rFonts w:eastAsia="Times New Roman"/>
          <w:szCs w:val="20"/>
          <w:lang w:val="fr-FR" w:eastAsia="fr-FR"/>
        </w:rPr>
      </w:pPr>
    </w:p>
    <w:p w:rsidR="00CF7619" w:rsidRDefault="00CF7619" w:rsidP="00F97FF1">
      <w:pPr>
        <w:jc w:val="center"/>
        <w:rPr>
          <w:rFonts w:eastAsia="Times New Roman"/>
          <w:szCs w:val="20"/>
          <w:lang w:val="fr-FR" w:eastAsia="fr-FR"/>
        </w:rPr>
      </w:pPr>
    </w:p>
    <w:p w:rsidR="00CF7619" w:rsidRDefault="00CF7619" w:rsidP="00F97FF1">
      <w:pPr>
        <w:jc w:val="center"/>
        <w:rPr>
          <w:rFonts w:eastAsia="Times New Roman"/>
          <w:szCs w:val="20"/>
          <w:lang w:val="fr-FR" w:eastAsia="fr-FR"/>
        </w:rPr>
      </w:pPr>
    </w:p>
    <w:p w:rsidR="00CF7619" w:rsidRDefault="00CF7619" w:rsidP="00F97FF1">
      <w:pPr>
        <w:jc w:val="center"/>
        <w:rPr>
          <w:rFonts w:eastAsia="Times New Roman"/>
          <w:szCs w:val="20"/>
          <w:lang w:val="fr-FR" w:eastAsia="fr-FR"/>
        </w:rPr>
      </w:pPr>
      <w:r>
        <w:rPr>
          <w:rFonts w:eastAsia="Times New Roman"/>
          <w:szCs w:val="20"/>
          <w:lang w:val="fr-FR" w:eastAsia="fr-FR"/>
        </w:rPr>
        <w:t>STRASBOURG</w:t>
      </w:r>
    </w:p>
    <w:p w:rsidR="00CF7619" w:rsidRDefault="00CF7619" w:rsidP="00F97FF1">
      <w:pPr>
        <w:jc w:val="center"/>
        <w:rPr>
          <w:rFonts w:eastAsia="Times New Roman"/>
          <w:szCs w:val="20"/>
          <w:lang w:val="fr-FR" w:eastAsia="fr-FR"/>
        </w:rPr>
      </w:pPr>
    </w:p>
    <w:p w:rsidR="00CF7619" w:rsidRDefault="00CF7619" w:rsidP="00F97FF1">
      <w:pPr>
        <w:jc w:val="center"/>
        <w:rPr>
          <w:rFonts w:eastAsia="Times New Roman"/>
          <w:szCs w:val="20"/>
          <w:lang w:val="fr-FR" w:eastAsia="fr-FR"/>
        </w:rPr>
      </w:pPr>
      <w:r>
        <w:rPr>
          <w:rFonts w:eastAsia="Times New Roman"/>
          <w:szCs w:val="20"/>
          <w:lang w:val="fr-FR" w:eastAsia="fr-FR"/>
        </w:rPr>
        <w:t>1</w:t>
      </w:r>
      <w:r w:rsidRPr="00F97FF1">
        <w:rPr>
          <w:rFonts w:eastAsia="Times New Roman"/>
          <w:szCs w:val="20"/>
          <w:vertAlign w:val="superscript"/>
          <w:lang w:val="fr-FR" w:eastAsia="fr-FR"/>
        </w:rPr>
        <w:t>er</w:t>
      </w:r>
      <w:r>
        <w:rPr>
          <w:rFonts w:eastAsia="Times New Roman"/>
          <w:szCs w:val="20"/>
          <w:lang w:val="fr-FR" w:eastAsia="fr-FR"/>
        </w:rPr>
        <w:t xml:space="preserve"> juillet 2014</w:t>
      </w:r>
    </w:p>
    <w:p w:rsidR="00CF7619" w:rsidRDefault="00CF7619" w:rsidP="00F97FF1">
      <w:pPr>
        <w:jc w:val="center"/>
        <w:rPr>
          <w:rFonts w:eastAsia="Times New Roman"/>
          <w:szCs w:val="20"/>
          <w:lang w:val="fr-FR" w:eastAsia="fr-FR"/>
        </w:rPr>
      </w:pPr>
    </w:p>
    <w:p w:rsidR="00CF7619" w:rsidRDefault="00CF7619" w:rsidP="00F97FF1">
      <w:pPr>
        <w:jc w:val="center"/>
        <w:rPr>
          <w:rFonts w:eastAsia="Times New Roman"/>
          <w:szCs w:val="20"/>
          <w:lang w:val="fr-FR" w:eastAsia="fr-FR"/>
        </w:rPr>
      </w:pPr>
    </w:p>
    <w:p w:rsidR="00CF7619" w:rsidRDefault="00CF7619" w:rsidP="00F97FF1">
      <w:pPr>
        <w:jc w:val="center"/>
        <w:rPr>
          <w:rFonts w:eastAsia="Times New Roman"/>
          <w:szCs w:val="20"/>
          <w:lang w:val="fr-FR" w:eastAsia="fr-FR"/>
        </w:rPr>
      </w:pPr>
    </w:p>
    <w:p w:rsidR="00CF7619" w:rsidRDefault="00CF7619" w:rsidP="00F97FF1">
      <w:pPr>
        <w:jc w:val="center"/>
        <w:rPr>
          <w:rFonts w:eastAsia="Times New Roman"/>
          <w:szCs w:val="20"/>
          <w:lang w:val="fr-FR" w:eastAsia="fr-FR"/>
        </w:rPr>
      </w:pPr>
    </w:p>
    <w:p w:rsidR="00CF7619" w:rsidRPr="000006A2" w:rsidRDefault="00CF7619" w:rsidP="00F97FF1">
      <w:pPr>
        <w:rPr>
          <w:rFonts w:eastAsia="Times New Roman"/>
          <w:b/>
          <w:szCs w:val="20"/>
          <w:lang w:val="fr-FR" w:eastAsia="fr-FR"/>
        </w:rPr>
      </w:pPr>
      <w:r>
        <w:rPr>
          <w:rFonts w:eastAsia="Times New Roman"/>
          <w:i/>
          <w:sz w:val="22"/>
          <w:szCs w:val="20"/>
          <w:lang w:val="fr-FR" w:eastAsia="fr-FR"/>
        </w:rPr>
        <w:t>Cet arrêt deviendra définitif dans les conditions définies à l’article 44 § 2 de la Convention. Il peut subir des retouches de forme.</w:t>
      </w:r>
    </w:p>
    <w:p w:rsidR="00CF7619" w:rsidRPr="000006A2" w:rsidRDefault="00CF7619" w:rsidP="000006A2">
      <w:pPr>
        <w:pStyle w:val="JuCase"/>
        <w:rPr>
          <w:rFonts w:eastAsia="Times New Roman"/>
          <w:b w:val="0"/>
          <w:szCs w:val="20"/>
          <w:lang w:val="fr-FR" w:eastAsia="fr-FR"/>
        </w:rPr>
      </w:pPr>
    </w:p>
    <w:p w:rsidR="00CF7619" w:rsidRDefault="00CF7619" w:rsidP="000006A2">
      <w:pPr>
        <w:pStyle w:val="JuCase"/>
        <w:rPr>
          <w:rFonts w:eastAsia="Times New Roman"/>
          <w:b w:val="0"/>
          <w:szCs w:val="20"/>
          <w:lang w:val="fr-FR" w:eastAsia="fr-FR"/>
        </w:rPr>
        <w:sectPr w:rsidR="00CF7619" w:rsidSect="00F97FF1">
          <w:headerReference w:type="default" r:id="rId7"/>
          <w:headerReference w:type="first" r:id="rId8"/>
          <w:footerReference w:type="first" r:id="rId9"/>
          <w:pgSz w:w="11906" w:h="16838" w:code="9"/>
          <w:pgMar w:top="1418" w:right="2268" w:bottom="1418" w:left="2268" w:header="1701" w:footer="720" w:gutter="0"/>
          <w:pgNumType w:start="1"/>
          <w:cols w:space="720"/>
          <w:titlePg/>
          <w:docGrid w:linePitch="326"/>
        </w:sectPr>
      </w:pPr>
    </w:p>
    <w:p w:rsidR="00CF7619" w:rsidRPr="00685582" w:rsidRDefault="00CF7619" w:rsidP="000006A2">
      <w:pPr>
        <w:pStyle w:val="JuCase"/>
        <w:rPr>
          <w:lang w:val="fr-FR"/>
        </w:rPr>
      </w:pPr>
      <w:r w:rsidRPr="00685582">
        <w:rPr>
          <w:lang w:val="fr-FR"/>
        </w:rPr>
        <w:t>En l</w:t>
      </w:r>
      <w:r>
        <w:rPr>
          <w:lang w:val="fr-FR"/>
        </w:rPr>
        <w:t>’</w:t>
      </w:r>
      <w:r w:rsidRPr="00685582">
        <w:rPr>
          <w:lang w:val="fr-FR"/>
        </w:rPr>
        <w:t xml:space="preserve">affaire </w:t>
      </w:r>
      <w:r>
        <w:rPr>
          <w:lang w:val="fr-FR"/>
        </w:rPr>
        <w:t>Guadagno et autres c. Italie</w:t>
      </w:r>
      <w:r w:rsidRPr="00685582">
        <w:rPr>
          <w:lang w:val="fr-FR"/>
        </w:rPr>
        <w:t>,</w:t>
      </w:r>
    </w:p>
    <w:p w:rsidR="00CF7619" w:rsidRPr="00685582" w:rsidRDefault="00CF7619" w:rsidP="0068104D">
      <w:pPr>
        <w:pStyle w:val="ECHRPara"/>
      </w:pPr>
      <w:r w:rsidRPr="00685582">
        <w:t>La Cour européenne des droits de l</w:t>
      </w:r>
      <w:r>
        <w:t>’</w:t>
      </w:r>
      <w:r w:rsidRPr="00685582">
        <w:t>homme (</w:t>
      </w:r>
      <w:r>
        <w:t>deuxième section</w:t>
      </w:r>
      <w:r w:rsidRPr="00685582">
        <w:t xml:space="preserve">), siégeant en une </w:t>
      </w:r>
      <w:r>
        <w:t>chambre</w:t>
      </w:r>
      <w:r w:rsidRPr="00685582">
        <w:t xml:space="preserve"> composée de :</w:t>
      </w:r>
    </w:p>
    <w:p w:rsidR="00CF7619" w:rsidRPr="00685582" w:rsidRDefault="00CF7619" w:rsidP="0068104D">
      <w:pPr>
        <w:pStyle w:val="ECHRDecisionBody"/>
      </w:pPr>
      <w:r w:rsidRPr="00F97FF1">
        <w:tab/>
        <w:t>Işıl</w:t>
      </w:r>
      <w:r>
        <w:t xml:space="preserve"> </w:t>
      </w:r>
      <w:r w:rsidRPr="00F97FF1">
        <w:t>Karakaş</w:t>
      </w:r>
      <w:r>
        <w:t>,</w:t>
      </w:r>
      <w:r w:rsidRPr="00F97FF1">
        <w:rPr>
          <w:i/>
        </w:rPr>
        <w:t xml:space="preserve"> présidente,</w:t>
      </w:r>
      <w:r>
        <w:rPr>
          <w:i/>
        </w:rPr>
        <w:br/>
      </w:r>
      <w:r w:rsidRPr="00F97FF1">
        <w:tab/>
        <w:t>Guido</w:t>
      </w:r>
      <w:r>
        <w:t xml:space="preserve"> </w:t>
      </w:r>
      <w:r w:rsidRPr="00F97FF1">
        <w:t>Raimondi</w:t>
      </w:r>
      <w:r>
        <w:t>,</w:t>
      </w:r>
      <w:r>
        <w:rPr>
          <w:i/>
        </w:rPr>
        <w:br/>
      </w:r>
      <w:r w:rsidRPr="00F97FF1">
        <w:tab/>
        <w:t>Nebojša</w:t>
      </w:r>
      <w:r>
        <w:t xml:space="preserve"> </w:t>
      </w:r>
      <w:r w:rsidRPr="00F97FF1">
        <w:t>Vučinić</w:t>
      </w:r>
      <w:r>
        <w:t>,</w:t>
      </w:r>
      <w:r>
        <w:rPr>
          <w:i/>
        </w:rPr>
        <w:br/>
      </w:r>
      <w:r w:rsidRPr="00F97FF1">
        <w:tab/>
        <w:t>Helen</w:t>
      </w:r>
      <w:r>
        <w:t xml:space="preserve"> </w:t>
      </w:r>
      <w:r w:rsidRPr="00F97FF1">
        <w:t>Keller</w:t>
      </w:r>
      <w:r>
        <w:t>,</w:t>
      </w:r>
      <w:r>
        <w:rPr>
          <w:i/>
        </w:rPr>
        <w:br/>
      </w:r>
      <w:r w:rsidRPr="00F97FF1">
        <w:tab/>
        <w:t>Paul</w:t>
      </w:r>
      <w:r>
        <w:t xml:space="preserve"> </w:t>
      </w:r>
      <w:r w:rsidRPr="00F97FF1">
        <w:t>Lemmens</w:t>
      </w:r>
      <w:r>
        <w:t>,</w:t>
      </w:r>
      <w:r>
        <w:rPr>
          <w:i/>
        </w:rPr>
        <w:br/>
      </w:r>
      <w:r w:rsidRPr="00F97FF1">
        <w:tab/>
        <w:t>Egidijus</w:t>
      </w:r>
      <w:r>
        <w:t xml:space="preserve"> </w:t>
      </w:r>
      <w:r w:rsidRPr="00F97FF1">
        <w:t>Kūris</w:t>
      </w:r>
      <w:r>
        <w:t>,</w:t>
      </w:r>
      <w:r>
        <w:rPr>
          <w:i/>
        </w:rPr>
        <w:br/>
      </w:r>
      <w:r w:rsidRPr="00F97FF1">
        <w:tab/>
        <w:t>Robert</w:t>
      </w:r>
      <w:r>
        <w:t xml:space="preserve"> </w:t>
      </w:r>
      <w:r w:rsidRPr="00F97FF1">
        <w:t>Spano</w:t>
      </w:r>
      <w:r>
        <w:t>,</w:t>
      </w:r>
      <w:r w:rsidRPr="00F97FF1">
        <w:rPr>
          <w:i/>
        </w:rPr>
        <w:t xml:space="preserve"> juges,</w:t>
      </w:r>
      <w:r w:rsidRPr="00685582">
        <w:br/>
        <w:t xml:space="preserve">et de </w:t>
      </w:r>
      <w:r>
        <w:rPr>
          <w:szCs w:val="24"/>
        </w:rPr>
        <w:t>Abel</w:t>
      </w:r>
      <w:r w:rsidRPr="005E099C">
        <w:rPr>
          <w:szCs w:val="24"/>
        </w:rPr>
        <w:t xml:space="preserve"> </w:t>
      </w:r>
      <w:r>
        <w:rPr>
          <w:szCs w:val="24"/>
        </w:rPr>
        <w:t>Campos</w:t>
      </w:r>
      <w:r w:rsidRPr="005E099C">
        <w:rPr>
          <w:szCs w:val="24"/>
        </w:rPr>
        <w:t xml:space="preserve">, </w:t>
      </w:r>
      <w:r>
        <w:rPr>
          <w:i/>
        </w:rPr>
        <w:t>greffier adjoint de section</w:t>
      </w:r>
      <w:r w:rsidRPr="005E099C">
        <w:rPr>
          <w:i/>
        </w:rPr>
        <w:t>,</w:t>
      </w:r>
    </w:p>
    <w:p w:rsidR="00CF7619" w:rsidRPr="00685582" w:rsidRDefault="00CF7619" w:rsidP="0068104D">
      <w:pPr>
        <w:pStyle w:val="ECHRPara"/>
      </w:pPr>
      <w:r w:rsidRPr="00685582">
        <w:t xml:space="preserve">Après en avoir délibéré en chambre du conseil le </w:t>
      </w:r>
      <w:r>
        <w:t>3 juin 2014</w:t>
      </w:r>
      <w:r w:rsidRPr="00685582">
        <w:t>,</w:t>
      </w:r>
    </w:p>
    <w:p w:rsidR="00CF7619" w:rsidRPr="00685582" w:rsidRDefault="00CF7619" w:rsidP="0068104D">
      <w:pPr>
        <w:pStyle w:val="ECHRPara"/>
      </w:pPr>
      <w:r w:rsidRPr="00685582">
        <w:t>Rend l</w:t>
      </w:r>
      <w:r>
        <w:t>’</w:t>
      </w:r>
      <w:r w:rsidRPr="00685582">
        <w:t>arrêt que voici, adopté à cette date :</w:t>
      </w:r>
    </w:p>
    <w:p w:rsidR="00CF7619" w:rsidRPr="00685582" w:rsidRDefault="00CF7619" w:rsidP="00B33C50">
      <w:pPr>
        <w:pStyle w:val="ECHRTitle1"/>
      </w:pPr>
      <w:r w:rsidRPr="00685582">
        <w:t>PROCÉDURE</w:t>
      </w:r>
    </w:p>
    <w:p w:rsidR="00CF7619" w:rsidRPr="00685582" w:rsidRDefault="00CF7619" w:rsidP="002617E3">
      <w:pPr>
        <w:pStyle w:val="ECHRPara"/>
      </w:pPr>
      <w:fldSimple w:instr=" SEQ level0 \*arabic ">
        <w:r>
          <w:rPr>
            <w:noProof/>
          </w:rPr>
          <w:t>1</w:t>
        </w:r>
      </w:fldSimple>
      <w:r w:rsidRPr="00685582">
        <w:t>.  </w:t>
      </w:r>
      <w:r>
        <w:t>À</w:t>
      </w:r>
      <w:r w:rsidRPr="00685582">
        <w:t xml:space="preserve"> l</w:t>
      </w:r>
      <w:r>
        <w:t>’</w:t>
      </w:r>
      <w:r w:rsidRPr="00685582">
        <w:t>origine de l</w:t>
      </w:r>
      <w:r>
        <w:t>’</w:t>
      </w:r>
      <w:r w:rsidRPr="00685582">
        <w:t>affaire se trouve une requête (n</w:t>
      </w:r>
      <w:r w:rsidRPr="00092931">
        <w:rPr>
          <w:vertAlign w:val="superscript"/>
        </w:rPr>
        <w:t>o</w:t>
      </w:r>
      <w:r w:rsidRPr="00685582">
        <w:t xml:space="preserve"> </w:t>
      </w:r>
      <w:r>
        <w:t>61820/08</w:t>
      </w:r>
      <w:r w:rsidRPr="00685582">
        <w:t xml:space="preserve">) dirigée contre </w:t>
      </w:r>
      <w:r>
        <w:t>la République italienne</w:t>
      </w:r>
      <w:r w:rsidRPr="00685582">
        <w:t xml:space="preserve"> et dont </w:t>
      </w:r>
      <w:r>
        <w:t>trois</w:t>
      </w:r>
      <w:r w:rsidRPr="00685582">
        <w:t xml:space="preserve"> ressortissants </w:t>
      </w:r>
      <w:r w:rsidRPr="00463A7D">
        <w:t xml:space="preserve">de cet </w:t>
      </w:r>
      <w:r>
        <w:t>État</w:t>
      </w:r>
      <w:r w:rsidRPr="00685582">
        <w:t>, MM.</w:t>
      </w:r>
      <w:r>
        <w:t> S. Guadagno, F. Minichini et F. Portoghese</w:t>
      </w:r>
      <w:r w:rsidRPr="00685582">
        <w:t xml:space="preserve"> (« les requérants »), ont saisi la Cour le </w:t>
      </w:r>
      <w:r>
        <w:t>15 décembre 2008</w:t>
      </w:r>
      <w:r w:rsidRPr="00685582">
        <w:t xml:space="preserve"> en vertu de l</w:t>
      </w:r>
      <w:r>
        <w:t>’</w:t>
      </w:r>
      <w:r w:rsidRPr="00685582">
        <w:t>article 34 de la Convention de sauvegarde des droits de l</w:t>
      </w:r>
      <w:r>
        <w:t>’</w:t>
      </w:r>
      <w:r w:rsidRPr="00685582">
        <w:t>homme et des libertés fondamentales (« la Convention »).</w:t>
      </w:r>
    </w:p>
    <w:p w:rsidR="00CF7619" w:rsidRDefault="00CF7619" w:rsidP="002617E3">
      <w:pPr>
        <w:pStyle w:val="ECHRPara"/>
      </w:pPr>
      <w:fldSimple w:instr=" SEQ level0 \*arabic ">
        <w:r>
          <w:rPr>
            <w:noProof/>
          </w:rPr>
          <w:t>2</w:t>
        </w:r>
      </w:fldSimple>
      <w:r w:rsidRPr="00092931">
        <w:t>.  Les requérants ont été représentés par M</w:t>
      </w:r>
      <w:r w:rsidRPr="00092931">
        <w:rPr>
          <w:vertAlign w:val="superscript"/>
        </w:rPr>
        <w:t>es</w:t>
      </w:r>
      <w:r w:rsidRPr="008B6085">
        <w:t> </w:t>
      </w:r>
      <w:r>
        <w:t>P.</w:t>
      </w:r>
      <w:r w:rsidRPr="008B6085">
        <w:t xml:space="preserve"> </w:t>
      </w:r>
      <w:r>
        <w:t xml:space="preserve">Troianello, G. Scalese </w:t>
      </w:r>
      <w:r w:rsidRPr="008B6085">
        <w:t xml:space="preserve">et </w:t>
      </w:r>
      <w:r>
        <w:t>F. Maiello</w:t>
      </w:r>
      <w:r w:rsidRPr="008B6085">
        <w:t xml:space="preserve">, avocats à </w:t>
      </w:r>
      <w:r>
        <w:t>Rome</w:t>
      </w:r>
      <w:r w:rsidRPr="008B6085">
        <w:t xml:space="preserve">. Le gouvernement </w:t>
      </w:r>
      <w:r>
        <w:t>italien</w:t>
      </w:r>
      <w:r w:rsidRPr="008B6085">
        <w:t xml:space="preserve"> (« le Gouvernement ») a été représenté par son agent, </w:t>
      </w:r>
      <w:r w:rsidRPr="002617E3">
        <w:t>M</w:t>
      </w:r>
      <w:r w:rsidRPr="002617E3">
        <w:rPr>
          <w:vertAlign w:val="superscript"/>
        </w:rPr>
        <w:t>me</w:t>
      </w:r>
      <w:r w:rsidRPr="002617E3">
        <w:t xml:space="preserve"> E. Spatafora</w:t>
      </w:r>
      <w:r>
        <w:t>,</w:t>
      </w:r>
      <w:r w:rsidRPr="002617E3">
        <w:t xml:space="preserve"> et par son coagent, M</w:t>
      </w:r>
      <w:r w:rsidRPr="002617E3">
        <w:rPr>
          <w:vertAlign w:val="superscript"/>
        </w:rPr>
        <w:t>me</w:t>
      </w:r>
      <w:r>
        <w:t> </w:t>
      </w:r>
      <w:r w:rsidRPr="002617E3">
        <w:t>P.</w:t>
      </w:r>
      <w:r>
        <w:t> </w:t>
      </w:r>
      <w:r w:rsidRPr="002617E3">
        <w:t>Accardo</w:t>
      </w:r>
      <w:r w:rsidRPr="008B6085">
        <w:t>.</w:t>
      </w:r>
    </w:p>
    <w:p w:rsidR="00CF7619" w:rsidRPr="00685582" w:rsidRDefault="00CF7619" w:rsidP="002617E3">
      <w:pPr>
        <w:pStyle w:val="ECHRPara"/>
        <w:rPr>
          <w:szCs w:val="24"/>
          <w:lang w:eastAsia="en-GB"/>
        </w:rPr>
      </w:pPr>
      <w:fldSimple w:instr=" SEQ level0 \*arabic ">
        <w:r>
          <w:rPr>
            <w:noProof/>
          </w:rPr>
          <w:t>3</w:t>
        </w:r>
      </w:fldSimple>
      <w:r w:rsidRPr="00092931">
        <w:t>.  Le 8 juin 2010, la requête a été communiquée au Gouvernement.</w:t>
      </w:r>
    </w:p>
    <w:p w:rsidR="00CF7619" w:rsidRPr="00685582" w:rsidRDefault="00CF7619" w:rsidP="00B33C50">
      <w:pPr>
        <w:pStyle w:val="ECHRTitle1"/>
        <w:tabs>
          <w:tab w:val="left" w:pos="5387"/>
        </w:tabs>
      </w:pPr>
      <w:r w:rsidRPr="00685582">
        <w:t>EN FAIT</w:t>
      </w:r>
    </w:p>
    <w:p w:rsidR="00CF7619" w:rsidRPr="00685582" w:rsidRDefault="00CF7619" w:rsidP="00B33C50">
      <w:pPr>
        <w:pStyle w:val="ECHRHeading1"/>
      </w:pPr>
      <w:r w:rsidRPr="00685582">
        <w:t>I.  LES CIRCONSTANCES DE L</w:t>
      </w:r>
      <w:r>
        <w:t>’</w:t>
      </w:r>
      <w:r w:rsidRPr="00685582">
        <w:t>ESPÈCE</w:t>
      </w:r>
    </w:p>
    <w:p w:rsidR="00CF7619" w:rsidRPr="00685582" w:rsidRDefault="00CF7619" w:rsidP="007E34C8">
      <w:pPr>
        <w:pStyle w:val="ECHRPara"/>
      </w:pPr>
      <w:fldSimple w:instr=" SEQ level0 \*arabic ">
        <w:r>
          <w:rPr>
            <w:noProof/>
          </w:rPr>
          <w:t>4</w:t>
        </w:r>
      </w:fldSimple>
      <w:r w:rsidRPr="00685582">
        <w:t xml:space="preserve">.  Les requérants sont nés respectivement en </w:t>
      </w:r>
      <w:r>
        <w:t>1947, 1941</w:t>
      </w:r>
      <w:r w:rsidRPr="00685582">
        <w:t xml:space="preserve"> et </w:t>
      </w:r>
      <w:r>
        <w:t>1950</w:t>
      </w:r>
      <w:r w:rsidRPr="00685582">
        <w:t xml:space="preserve"> et résident à </w:t>
      </w:r>
      <w:r>
        <w:t>Salerne (</w:t>
      </w:r>
      <w:r w:rsidRPr="00430F0B">
        <w:rPr>
          <w:i/>
        </w:rPr>
        <w:t>S</w:t>
      </w:r>
      <w:r w:rsidRPr="00242EA1">
        <w:rPr>
          <w:i/>
        </w:rPr>
        <w:t>alerno</w:t>
      </w:r>
      <w:r>
        <w:t>)</w:t>
      </w:r>
      <w:r w:rsidRPr="00685582">
        <w:t>.</w:t>
      </w:r>
    </w:p>
    <w:p w:rsidR="00CF7619" w:rsidRPr="00092931" w:rsidRDefault="00CF7619" w:rsidP="00092931">
      <w:pPr>
        <w:suppressAutoHyphens/>
        <w:ind w:firstLine="284"/>
        <w:rPr>
          <w:rFonts w:eastAsia="Times New Roman"/>
          <w:szCs w:val="20"/>
          <w:lang w:val="fr-FR" w:eastAsia="fr-FR"/>
        </w:rPr>
      </w:pPr>
      <w:r>
        <w:rPr>
          <w:rFonts w:eastAsia="Times New Roman"/>
          <w:szCs w:val="20"/>
          <w:lang w:val="fr-FR" w:eastAsia="fr-FR"/>
        </w:rPr>
        <w:fldChar w:fldCharType="begin"/>
      </w:r>
      <w:r>
        <w:rPr>
          <w:rFonts w:eastAsia="Times New Roman"/>
          <w:szCs w:val="20"/>
          <w:lang w:val="fr-FR" w:eastAsia="fr-FR"/>
        </w:rPr>
        <w:instrText xml:space="preserve"> SEQ level0 \*arabic </w:instrText>
      </w:r>
      <w:r>
        <w:rPr>
          <w:rFonts w:eastAsia="Times New Roman"/>
          <w:szCs w:val="20"/>
          <w:lang w:val="fr-FR" w:eastAsia="fr-FR"/>
        </w:rPr>
        <w:fldChar w:fldCharType="separate"/>
      </w:r>
      <w:r>
        <w:rPr>
          <w:rFonts w:eastAsia="Times New Roman"/>
          <w:noProof/>
          <w:szCs w:val="20"/>
          <w:lang w:val="fr-FR" w:eastAsia="fr-FR"/>
        </w:rPr>
        <w:t>5</w:t>
      </w:r>
      <w:r>
        <w:rPr>
          <w:rFonts w:eastAsia="Times New Roman"/>
          <w:szCs w:val="20"/>
          <w:lang w:val="fr-FR" w:eastAsia="fr-FR"/>
        </w:rPr>
        <w:fldChar w:fldCharType="end"/>
      </w:r>
      <w:r>
        <w:rPr>
          <w:rFonts w:eastAsia="Times New Roman"/>
          <w:szCs w:val="20"/>
          <w:lang w:val="fr-FR" w:eastAsia="fr-FR"/>
        </w:rPr>
        <w:t>.  </w:t>
      </w:r>
      <w:r w:rsidRPr="00092931">
        <w:rPr>
          <w:rFonts w:eastAsia="Times New Roman"/>
          <w:szCs w:val="20"/>
          <w:lang w:val="fr-FR" w:eastAsia="fr-FR"/>
        </w:rPr>
        <w:t>Les requérants sont des magistrats administratifs. Le 11 juin 1991, ils obtinrent le</w:t>
      </w:r>
      <w:r w:rsidRPr="00092931">
        <w:rPr>
          <w:rFonts w:eastAsia="Times New Roman"/>
          <w:i/>
          <w:szCs w:val="20"/>
          <w:lang w:val="fr-FR" w:eastAsia="fr-FR"/>
        </w:rPr>
        <w:t xml:space="preserve"> </w:t>
      </w:r>
      <w:r w:rsidRPr="005A3F2C">
        <w:rPr>
          <w:rFonts w:eastAsia="Times New Roman"/>
          <w:i/>
          <w:szCs w:val="20"/>
          <w:lang w:val="fr-FR" w:eastAsia="fr-FR"/>
        </w:rPr>
        <w:t>status</w:t>
      </w:r>
      <w:r w:rsidRPr="00092931">
        <w:rPr>
          <w:rFonts w:eastAsia="Times New Roman"/>
          <w:szCs w:val="20"/>
          <w:lang w:val="fr-FR" w:eastAsia="fr-FR"/>
        </w:rPr>
        <w:t xml:space="preserve"> de « conseiller d</w:t>
      </w:r>
      <w:r>
        <w:rPr>
          <w:rFonts w:eastAsia="Times New Roman"/>
          <w:szCs w:val="20"/>
          <w:lang w:val="fr-FR" w:eastAsia="fr-FR"/>
        </w:rPr>
        <w:t>’</w:t>
      </w:r>
      <w:r w:rsidRPr="00092931">
        <w:rPr>
          <w:rFonts w:eastAsia="Times New Roman"/>
          <w:szCs w:val="20"/>
          <w:lang w:val="fr-FR" w:eastAsia="fr-FR"/>
        </w:rPr>
        <w:t>État » (</w:t>
      </w:r>
      <w:r w:rsidRPr="00092931">
        <w:rPr>
          <w:rFonts w:eastAsia="Times New Roman"/>
          <w:i/>
          <w:szCs w:val="20"/>
          <w:lang w:val="fr-FR" w:eastAsia="fr-FR"/>
        </w:rPr>
        <w:t>consigliere</w:t>
      </w:r>
      <w:r>
        <w:rPr>
          <w:rFonts w:eastAsia="Times New Roman"/>
          <w:i/>
          <w:szCs w:val="20"/>
          <w:lang w:val="fr-FR" w:eastAsia="fr-FR"/>
        </w:rPr>
        <w:t xml:space="preserve"> </w:t>
      </w:r>
      <w:r w:rsidRPr="00092931">
        <w:rPr>
          <w:rFonts w:eastAsia="Times New Roman"/>
          <w:i/>
          <w:szCs w:val="20"/>
          <w:lang w:val="fr-FR" w:eastAsia="fr-FR"/>
        </w:rPr>
        <w:t>di Stato</w:t>
      </w:r>
      <w:r w:rsidRPr="00092931">
        <w:rPr>
          <w:rFonts w:eastAsia="Times New Roman"/>
          <w:szCs w:val="20"/>
          <w:lang w:val="fr-FR" w:eastAsia="fr-FR"/>
        </w:rPr>
        <w:t>).</w:t>
      </w:r>
    </w:p>
    <w:p w:rsidR="00CF7619" w:rsidRDefault="00CF7619" w:rsidP="00092931">
      <w:pPr>
        <w:suppressAutoHyphens/>
        <w:ind w:firstLine="284"/>
        <w:rPr>
          <w:rFonts w:eastAsia="Times New Roman"/>
          <w:szCs w:val="20"/>
          <w:lang w:val="fr-FR" w:eastAsia="fr-FR"/>
        </w:rPr>
      </w:pPr>
      <w:r>
        <w:rPr>
          <w:rFonts w:eastAsia="Times New Roman"/>
          <w:szCs w:val="20"/>
          <w:lang w:val="fr-FR" w:eastAsia="fr-FR"/>
        </w:rPr>
        <w:fldChar w:fldCharType="begin"/>
      </w:r>
      <w:r>
        <w:rPr>
          <w:rFonts w:eastAsia="Times New Roman"/>
          <w:szCs w:val="20"/>
          <w:lang w:val="fr-FR" w:eastAsia="fr-FR"/>
        </w:rPr>
        <w:instrText xml:space="preserve"> SEQ level0 \*arabic </w:instrText>
      </w:r>
      <w:r>
        <w:rPr>
          <w:rFonts w:eastAsia="Times New Roman"/>
          <w:szCs w:val="20"/>
          <w:lang w:val="fr-FR" w:eastAsia="fr-FR"/>
        </w:rPr>
        <w:fldChar w:fldCharType="separate"/>
      </w:r>
      <w:r>
        <w:rPr>
          <w:rFonts w:eastAsia="Times New Roman"/>
          <w:noProof/>
          <w:szCs w:val="20"/>
          <w:lang w:val="fr-FR" w:eastAsia="fr-FR"/>
        </w:rPr>
        <w:t>6</w:t>
      </w:r>
      <w:r>
        <w:rPr>
          <w:rFonts w:eastAsia="Times New Roman"/>
          <w:szCs w:val="20"/>
          <w:lang w:val="fr-FR" w:eastAsia="fr-FR"/>
        </w:rPr>
        <w:fldChar w:fldCharType="end"/>
      </w:r>
      <w:r>
        <w:rPr>
          <w:rFonts w:eastAsia="Times New Roman"/>
          <w:szCs w:val="20"/>
          <w:lang w:val="fr-FR" w:eastAsia="fr-FR"/>
        </w:rPr>
        <w:t>.  </w:t>
      </w:r>
      <w:r w:rsidRPr="00092931">
        <w:rPr>
          <w:rFonts w:eastAsia="Times New Roman"/>
          <w:szCs w:val="20"/>
          <w:lang w:val="fr-FR" w:eastAsia="fr-FR"/>
        </w:rPr>
        <w:t>Par un acte notifié</w:t>
      </w:r>
      <w:r>
        <w:rPr>
          <w:rFonts w:eastAsia="Times New Roman"/>
          <w:szCs w:val="20"/>
          <w:lang w:val="fr-FR" w:eastAsia="fr-FR"/>
        </w:rPr>
        <w:t xml:space="preserve"> à leur administration</w:t>
      </w:r>
      <w:r w:rsidRPr="00092931">
        <w:rPr>
          <w:rFonts w:eastAsia="Times New Roman"/>
          <w:szCs w:val="20"/>
          <w:lang w:val="fr-FR" w:eastAsia="fr-FR"/>
        </w:rPr>
        <w:t xml:space="preserve"> le 23 décembre 1992 et déposé au greffe du </w:t>
      </w:r>
      <w:r>
        <w:rPr>
          <w:rFonts w:eastAsia="Times New Roman"/>
          <w:szCs w:val="20"/>
          <w:lang w:val="fr-FR" w:eastAsia="fr-FR"/>
        </w:rPr>
        <w:t>t</w:t>
      </w:r>
      <w:r w:rsidRPr="00092931">
        <w:rPr>
          <w:rFonts w:eastAsia="Times New Roman"/>
          <w:szCs w:val="20"/>
          <w:lang w:val="fr-FR" w:eastAsia="fr-FR"/>
        </w:rPr>
        <w:t>ribunal administratif régional (TAR) de la Basilicate, les requérants demandèrent</w:t>
      </w:r>
      <w:r>
        <w:rPr>
          <w:rFonts w:eastAsia="Times New Roman"/>
          <w:szCs w:val="20"/>
          <w:lang w:val="fr-FR" w:eastAsia="fr-FR"/>
        </w:rPr>
        <w:t xml:space="preserve"> </w:t>
      </w:r>
      <w:r w:rsidRPr="00F43CF5">
        <w:rPr>
          <w:rFonts w:eastAsia="Times New Roman"/>
          <w:szCs w:val="20"/>
          <w:lang w:val="fr-FR" w:eastAsia="fr-FR"/>
        </w:rPr>
        <w:t>l</w:t>
      </w:r>
      <w:r>
        <w:rPr>
          <w:rFonts w:eastAsia="Times New Roman"/>
          <w:szCs w:val="20"/>
          <w:lang w:val="fr-FR" w:eastAsia="fr-FR"/>
        </w:rPr>
        <w:t>’</w:t>
      </w:r>
      <w:r w:rsidRPr="00F43CF5">
        <w:rPr>
          <w:rFonts w:eastAsia="Times New Roman"/>
          <w:szCs w:val="20"/>
          <w:lang w:val="fr-FR" w:eastAsia="fr-FR"/>
        </w:rPr>
        <w:t>ajustement de leur salaire</w:t>
      </w:r>
      <w:r>
        <w:rPr>
          <w:rFonts w:eastAsia="Times New Roman"/>
          <w:szCs w:val="20"/>
          <w:lang w:val="fr-FR" w:eastAsia="fr-FR"/>
        </w:rPr>
        <w:t xml:space="preserve"> en application</w:t>
      </w:r>
      <w:r w:rsidRPr="00092931">
        <w:rPr>
          <w:rFonts w:eastAsia="Times New Roman"/>
          <w:szCs w:val="20"/>
          <w:lang w:val="fr-FR" w:eastAsia="fr-FR"/>
        </w:rPr>
        <w:t xml:space="preserve"> de l</w:t>
      </w:r>
      <w:r>
        <w:rPr>
          <w:rFonts w:eastAsia="Times New Roman"/>
          <w:szCs w:val="20"/>
          <w:lang w:val="fr-FR" w:eastAsia="fr-FR"/>
        </w:rPr>
        <w:t>’</w:t>
      </w:r>
      <w:r w:rsidRPr="00092931">
        <w:rPr>
          <w:rFonts w:eastAsia="Times New Roman"/>
          <w:szCs w:val="20"/>
          <w:lang w:val="fr-FR" w:eastAsia="fr-FR"/>
        </w:rPr>
        <w:t>article 1 de la loi n</w:t>
      </w:r>
      <w:r w:rsidRPr="00092931">
        <w:rPr>
          <w:rFonts w:eastAsia="Times New Roman"/>
          <w:szCs w:val="20"/>
          <w:vertAlign w:val="superscript"/>
          <w:lang w:val="fr-FR" w:eastAsia="fr-FR"/>
        </w:rPr>
        <w:t>o</w:t>
      </w:r>
      <w:r w:rsidRPr="00092931">
        <w:rPr>
          <w:rFonts w:eastAsia="Times New Roman"/>
          <w:szCs w:val="20"/>
          <w:lang w:val="fr-FR" w:eastAsia="fr-FR"/>
        </w:rPr>
        <w:t xml:space="preserve"> 265 du 8 août 1991 (qui f</w:t>
      </w:r>
      <w:r>
        <w:rPr>
          <w:rFonts w:eastAsia="Times New Roman"/>
          <w:szCs w:val="20"/>
          <w:lang w:val="fr-FR" w:eastAsia="fr-FR"/>
        </w:rPr>
        <w:t>ais</w:t>
      </w:r>
      <w:r w:rsidRPr="00092931">
        <w:rPr>
          <w:rFonts w:eastAsia="Times New Roman"/>
          <w:szCs w:val="20"/>
          <w:lang w:val="fr-FR" w:eastAsia="fr-FR"/>
        </w:rPr>
        <w:t>ait référence à l</w:t>
      </w:r>
      <w:r>
        <w:rPr>
          <w:rFonts w:eastAsia="Times New Roman"/>
          <w:szCs w:val="20"/>
          <w:lang w:val="fr-FR" w:eastAsia="fr-FR"/>
        </w:rPr>
        <w:t>’</w:t>
      </w:r>
      <w:r w:rsidRPr="00092931">
        <w:rPr>
          <w:rFonts w:eastAsia="Times New Roman"/>
          <w:szCs w:val="20"/>
          <w:lang w:val="fr-FR" w:eastAsia="fr-FR"/>
        </w:rPr>
        <w:t>article 4, alinéa 3, du décret-loi n</w:t>
      </w:r>
      <w:r w:rsidRPr="00092931">
        <w:rPr>
          <w:rFonts w:eastAsia="Times New Roman"/>
          <w:szCs w:val="20"/>
          <w:vertAlign w:val="superscript"/>
          <w:lang w:val="fr-FR" w:eastAsia="fr-FR"/>
        </w:rPr>
        <w:t>o</w:t>
      </w:r>
      <w:r w:rsidRPr="00092931">
        <w:rPr>
          <w:rFonts w:eastAsia="Times New Roman"/>
          <w:szCs w:val="20"/>
          <w:lang w:val="fr-FR" w:eastAsia="fr-FR"/>
        </w:rPr>
        <w:t xml:space="preserve"> 681 du 27 septembre 1982</w:t>
      </w:r>
      <w:r>
        <w:rPr>
          <w:rFonts w:eastAsia="Times New Roman"/>
          <w:szCs w:val="20"/>
          <w:lang w:val="fr-FR" w:eastAsia="fr-FR"/>
        </w:rPr>
        <w:t>,</w:t>
      </w:r>
      <w:r w:rsidRPr="00092931">
        <w:rPr>
          <w:rFonts w:eastAsia="Times New Roman"/>
          <w:szCs w:val="20"/>
          <w:lang w:val="fr-FR" w:eastAsia="fr-FR"/>
        </w:rPr>
        <w:t xml:space="preserve"> converti </w:t>
      </w:r>
      <w:r>
        <w:rPr>
          <w:rFonts w:eastAsia="Times New Roman"/>
          <w:szCs w:val="20"/>
          <w:lang w:val="fr-FR" w:eastAsia="fr-FR"/>
        </w:rPr>
        <w:t>avec modifications en</w:t>
      </w:r>
      <w:r w:rsidRPr="00092931">
        <w:rPr>
          <w:rFonts w:eastAsia="Times New Roman"/>
          <w:szCs w:val="20"/>
          <w:lang w:val="fr-FR" w:eastAsia="fr-FR"/>
        </w:rPr>
        <w:t xml:space="preserve"> la loi n</w:t>
      </w:r>
      <w:r w:rsidRPr="00092931">
        <w:rPr>
          <w:rFonts w:eastAsia="Times New Roman"/>
          <w:szCs w:val="20"/>
          <w:vertAlign w:val="superscript"/>
          <w:lang w:val="fr-FR" w:eastAsia="fr-FR"/>
        </w:rPr>
        <w:t>o</w:t>
      </w:r>
      <w:r w:rsidRPr="00092931">
        <w:rPr>
          <w:rFonts w:eastAsia="Times New Roman"/>
          <w:szCs w:val="20"/>
          <w:lang w:val="fr-FR" w:eastAsia="fr-FR"/>
        </w:rPr>
        <w:t xml:space="preserve"> 869 du 20 novembre 1982).</w:t>
      </w:r>
    </w:p>
    <w:p w:rsidR="00CF7619" w:rsidRDefault="00CF7619" w:rsidP="00092931">
      <w:pPr>
        <w:suppressAutoHyphens/>
        <w:ind w:firstLine="284"/>
        <w:rPr>
          <w:rFonts w:eastAsia="Times New Roman"/>
          <w:szCs w:val="20"/>
          <w:lang w:val="fr-FR" w:eastAsia="fr-FR"/>
        </w:rPr>
      </w:pPr>
      <w:r>
        <w:rPr>
          <w:rFonts w:eastAsia="Times New Roman"/>
          <w:szCs w:val="20"/>
          <w:lang w:val="fr-FR" w:eastAsia="fr-FR"/>
        </w:rPr>
        <w:t>Ils</w:t>
      </w:r>
      <w:r w:rsidRPr="00092931">
        <w:rPr>
          <w:rFonts w:eastAsia="Times New Roman"/>
          <w:szCs w:val="20"/>
          <w:lang w:val="fr-FR" w:eastAsia="fr-FR"/>
        </w:rPr>
        <w:t xml:space="preserve"> estimaient avoir droit</w:t>
      </w:r>
      <w:r>
        <w:rPr>
          <w:rFonts w:eastAsia="Times New Roman"/>
          <w:szCs w:val="20"/>
          <w:lang w:val="fr-FR" w:eastAsia="fr-FR"/>
        </w:rPr>
        <w:t>, en vertu de ces dispositions,</w:t>
      </w:r>
      <w:r w:rsidRPr="00092931">
        <w:rPr>
          <w:rFonts w:eastAsia="Times New Roman"/>
          <w:szCs w:val="20"/>
          <w:lang w:val="fr-FR" w:eastAsia="fr-FR"/>
        </w:rPr>
        <w:t xml:space="preserve"> au même salaire</w:t>
      </w:r>
      <w:r>
        <w:rPr>
          <w:rFonts w:eastAsia="Times New Roman"/>
          <w:szCs w:val="20"/>
          <w:lang w:val="fr-FR" w:eastAsia="fr-FR"/>
        </w:rPr>
        <w:t xml:space="preserve"> que celui </w:t>
      </w:r>
      <w:r w:rsidRPr="00092931">
        <w:rPr>
          <w:rFonts w:eastAsia="Times New Roman"/>
          <w:szCs w:val="20"/>
          <w:lang w:val="fr-FR" w:eastAsia="fr-FR"/>
        </w:rPr>
        <w:t>obtenu par d</w:t>
      </w:r>
      <w:r>
        <w:rPr>
          <w:rFonts w:eastAsia="Times New Roman"/>
          <w:szCs w:val="20"/>
          <w:lang w:val="fr-FR" w:eastAsia="fr-FR"/>
        </w:rPr>
        <w:t>’</w:t>
      </w:r>
      <w:r w:rsidRPr="00092931">
        <w:rPr>
          <w:rFonts w:eastAsia="Times New Roman"/>
          <w:szCs w:val="20"/>
          <w:lang w:val="fr-FR" w:eastAsia="fr-FR"/>
        </w:rPr>
        <w:t>autres conseillers d</w:t>
      </w:r>
      <w:r>
        <w:rPr>
          <w:rFonts w:eastAsia="Times New Roman"/>
          <w:szCs w:val="20"/>
          <w:lang w:val="fr-FR" w:eastAsia="fr-FR"/>
        </w:rPr>
        <w:t>’</w:t>
      </w:r>
      <w:r w:rsidRPr="00092931">
        <w:rPr>
          <w:rFonts w:eastAsia="Times New Roman"/>
          <w:szCs w:val="20"/>
          <w:lang w:val="fr-FR" w:eastAsia="fr-FR"/>
        </w:rPr>
        <w:t>État qui, en dépit d</w:t>
      </w:r>
      <w:r>
        <w:rPr>
          <w:rFonts w:eastAsia="Times New Roman"/>
          <w:szCs w:val="20"/>
          <w:lang w:val="fr-FR" w:eastAsia="fr-FR"/>
        </w:rPr>
        <w:t>’</w:t>
      </w:r>
      <w:r w:rsidRPr="00092931">
        <w:rPr>
          <w:rFonts w:eastAsia="Times New Roman"/>
          <w:szCs w:val="20"/>
          <w:lang w:val="fr-FR" w:eastAsia="fr-FR"/>
        </w:rPr>
        <w:t>une ancienneté inférieure</w:t>
      </w:r>
      <w:r>
        <w:rPr>
          <w:rFonts w:eastAsia="Times New Roman"/>
          <w:szCs w:val="20"/>
          <w:lang w:val="fr-FR" w:eastAsia="fr-FR"/>
        </w:rPr>
        <w:t xml:space="preserve"> à la leur,</w:t>
      </w:r>
      <w:r w:rsidRPr="00092931">
        <w:rPr>
          <w:rFonts w:eastAsia="Times New Roman"/>
          <w:szCs w:val="20"/>
          <w:lang w:val="fr-FR" w:eastAsia="fr-FR"/>
        </w:rPr>
        <w:t xml:space="preserve"> jouissaient d</w:t>
      </w:r>
      <w:r>
        <w:rPr>
          <w:rFonts w:eastAsia="Times New Roman"/>
          <w:szCs w:val="20"/>
          <w:lang w:val="fr-FR" w:eastAsia="fr-FR"/>
        </w:rPr>
        <w:t>’</w:t>
      </w:r>
      <w:r w:rsidRPr="00092931">
        <w:rPr>
          <w:rFonts w:eastAsia="Times New Roman"/>
          <w:szCs w:val="20"/>
          <w:lang w:val="fr-FR" w:eastAsia="fr-FR"/>
        </w:rPr>
        <w:t>un traitement salarial plus élevé.</w:t>
      </w:r>
    </w:p>
    <w:p w:rsidR="00CF7619" w:rsidRPr="00092931" w:rsidRDefault="00CF7619" w:rsidP="00092931">
      <w:pPr>
        <w:suppressAutoHyphens/>
        <w:ind w:firstLine="284"/>
        <w:rPr>
          <w:rFonts w:eastAsia="Times New Roman"/>
          <w:szCs w:val="20"/>
          <w:lang w:val="fr-FR" w:eastAsia="fr-FR"/>
        </w:rPr>
      </w:pPr>
      <w:r>
        <w:rPr>
          <w:rFonts w:eastAsia="Times New Roman"/>
          <w:szCs w:val="20"/>
          <w:lang w:val="fr-FR" w:eastAsia="fr-FR"/>
        </w:rPr>
        <w:fldChar w:fldCharType="begin"/>
      </w:r>
      <w:r>
        <w:rPr>
          <w:rFonts w:eastAsia="Times New Roman"/>
          <w:szCs w:val="20"/>
          <w:lang w:val="fr-FR" w:eastAsia="fr-FR"/>
        </w:rPr>
        <w:instrText xml:space="preserve"> SEQ level0 \*arabic </w:instrText>
      </w:r>
      <w:r>
        <w:rPr>
          <w:rFonts w:eastAsia="Times New Roman"/>
          <w:szCs w:val="20"/>
          <w:lang w:val="fr-FR" w:eastAsia="fr-FR"/>
        </w:rPr>
        <w:fldChar w:fldCharType="separate"/>
      </w:r>
      <w:r>
        <w:rPr>
          <w:rFonts w:eastAsia="Times New Roman"/>
          <w:noProof/>
          <w:szCs w:val="20"/>
          <w:lang w:val="fr-FR" w:eastAsia="fr-FR"/>
        </w:rPr>
        <w:t>7</w:t>
      </w:r>
      <w:r>
        <w:rPr>
          <w:rFonts w:eastAsia="Times New Roman"/>
          <w:szCs w:val="20"/>
          <w:lang w:val="fr-FR" w:eastAsia="fr-FR"/>
        </w:rPr>
        <w:fldChar w:fldCharType="end"/>
      </w:r>
      <w:r>
        <w:rPr>
          <w:rFonts w:eastAsia="Times New Roman"/>
          <w:szCs w:val="20"/>
          <w:lang w:val="fr-FR" w:eastAsia="fr-FR"/>
        </w:rPr>
        <w:t>.  </w:t>
      </w:r>
      <w:r w:rsidRPr="00092931">
        <w:rPr>
          <w:rFonts w:eastAsia="Times New Roman"/>
          <w:szCs w:val="20"/>
          <w:lang w:val="fr-FR" w:eastAsia="fr-FR"/>
        </w:rPr>
        <w:t>Par un décret du 11 mars 1993, le président du TAR transmit l</w:t>
      </w:r>
      <w:r>
        <w:rPr>
          <w:rFonts w:eastAsia="Times New Roman"/>
          <w:szCs w:val="20"/>
          <w:lang w:val="fr-FR" w:eastAsia="fr-FR"/>
        </w:rPr>
        <w:t>’</w:t>
      </w:r>
      <w:r w:rsidRPr="00092931">
        <w:rPr>
          <w:rFonts w:eastAsia="Times New Roman"/>
          <w:szCs w:val="20"/>
          <w:lang w:val="fr-FR" w:eastAsia="fr-FR"/>
        </w:rPr>
        <w:t xml:space="preserve">affaire </w:t>
      </w:r>
      <w:r>
        <w:rPr>
          <w:rFonts w:eastAsia="Times New Roman"/>
          <w:szCs w:val="20"/>
          <w:lang w:val="fr-FR" w:eastAsia="fr-FR"/>
        </w:rPr>
        <w:t xml:space="preserve">au </w:t>
      </w:r>
      <w:r w:rsidRPr="00092931">
        <w:rPr>
          <w:rFonts w:eastAsia="Times New Roman"/>
          <w:szCs w:val="20"/>
          <w:lang w:val="fr-FR" w:eastAsia="fr-FR"/>
        </w:rPr>
        <w:t xml:space="preserve">TAR </w:t>
      </w:r>
      <w:r>
        <w:rPr>
          <w:rFonts w:eastAsia="Times New Roman"/>
          <w:szCs w:val="20"/>
          <w:lang w:val="fr-FR" w:eastAsia="fr-FR"/>
        </w:rPr>
        <w:t xml:space="preserve">de </w:t>
      </w:r>
      <w:r w:rsidRPr="00092931">
        <w:rPr>
          <w:rFonts w:eastAsia="Times New Roman"/>
          <w:szCs w:val="20"/>
          <w:lang w:val="fr-FR" w:eastAsia="fr-FR"/>
        </w:rPr>
        <w:t>Salerne. Par un acte déposé le 26 mars 1993, les requérants se constituèrent dans la procédure.</w:t>
      </w:r>
    </w:p>
    <w:p w:rsidR="00CF7619" w:rsidRPr="00092931" w:rsidRDefault="00CF7619" w:rsidP="00092931">
      <w:pPr>
        <w:suppressAutoHyphens/>
        <w:ind w:firstLine="284"/>
        <w:rPr>
          <w:rFonts w:eastAsia="Times New Roman"/>
          <w:szCs w:val="20"/>
          <w:lang w:val="fr-FR" w:eastAsia="fr-FR"/>
        </w:rPr>
      </w:pPr>
      <w:r>
        <w:rPr>
          <w:rFonts w:eastAsia="Times New Roman"/>
          <w:szCs w:val="20"/>
          <w:lang w:val="fr-FR" w:eastAsia="fr-FR"/>
        </w:rPr>
        <w:fldChar w:fldCharType="begin"/>
      </w:r>
      <w:r>
        <w:rPr>
          <w:rFonts w:eastAsia="Times New Roman"/>
          <w:szCs w:val="20"/>
          <w:lang w:val="fr-FR" w:eastAsia="fr-FR"/>
        </w:rPr>
        <w:instrText xml:space="preserve"> SEQ level0 \*arabic </w:instrText>
      </w:r>
      <w:r>
        <w:rPr>
          <w:rFonts w:eastAsia="Times New Roman"/>
          <w:szCs w:val="20"/>
          <w:lang w:val="fr-FR" w:eastAsia="fr-FR"/>
        </w:rPr>
        <w:fldChar w:fldCharType="separate"/>
      </w:r>
      <w:r>
        <w:rPr>
          <w:rFonts w:eastAsia="Times New Roman"/>
          <w:noProof/>
          <w:szCs w:val="20"/>
          <w:lang w:val="fr-FR" w:eastAsia="fr-FR"/>
        </w:rPr>
        <w:t>8</w:t>
      </w:r>
      <w:r>
        <w:rPr>
          <w:rFonts w:eastAsia="Times New Roman"/>
          <w:szCs w:val="20"/>
          <w:lang w:val="fr-FR" w:eastAsia="fr-FR"/>
        </w:rPr>
        <w:fldChar w:fldCharType="end"/>
      </w:r>
      <w:r>
        <w:rPr>
          <w:rFonts w:eastAsia="Times New Roman"/>
          <w:szCs w:val="20"/>
          <w:lang w:val="fr-FR" w:eastAsia="fr-FR"/>
        </w:rPr>
        <w:t>.  </w:t>
      </w:r>
      <w:r w:rsidRPr="00092931">
        <w:rPr>
          <w:rFonts w:eastAsia="Times New Roman"/>
          <w:szCs w:val="20"/>
          <w:lang w:val="fr-FR" w:eastAsia="fr-FR"/>
        </w:rPr>
        <w:t xml:space="preserve">Par un </w:t>
      </w:r>
      <w:r>
        <w:rPr>
          <w:rFonts w:eastAsia="Times New Roman"/>
          <w:szCs w:val="20"/>
          <w:lang w:val="fr-FR" w:eastAsia="fr-FR"/>
        </w:rPr>
        <w:t>jugement</w:t>
      </w:r>
      <w:r w:rsidRPr="00092931">
        <w:rPr>
          <w:rFonts w:eastAsia="Times New Roman"/>
          <w:szCs w:val="20"/>
          <w:lang w:val="fr-FR" w:eastAsia="fr-FR"/>
        </w:rPr>
        <w:t xml:space="preserve"> du 6 décembre 1995, déposé au greffe le 12</w:t>
      </w:r>
      <w:r>
        <w:rPr>
          <w:rFonts w:eastAsia="Times New Roman"/>
          <w:szCs w:val="20"/>
          <w:lang w:val="fr-FR" w:eastAsia="fr-FR"/>
        </w:rPr>
        <w:t> </w:t>
      </w:r>
      <w:r w:rsidRPr="00092931">
        <w:rPr>
          <w:rFonts w:eastAsia="Times New Roman"/>
          <w:szCs w:val="20"/>
          <w:lang w:val="fr-FR" w:eastAsia="fr-FR"/>
        </w:rPr>
        <w:t>mars</w:t>
      </w:r>
      <w:r>
        <w:rPr>
          <w:rFonts w:eastAsia="Times New Roman"/>
          <w:szCs w:val="20"/>
          <w:lang w:val="fr-FR" w:eastAsia="fr-FR"/>
        </w:rPr>
        <w:t> </w:t>
      </w:r>
      <w:r w:rsidRPr="00092931">
        <w:rPr>
          <w:rFonts w:eastAsia="Times New Roman"/>
          <w:szCs w:val="20"/>
          <w:lang w:val="fr-FR" w:eastAsia="fr-FR"/>
        </w:rPr>
        <w:t>1996, le TAR fit droit à la demande des requérants.</w:t>
      </w:r>
    </w:p>
    <w:p w:rsidR="00CF7619" w:rsidRDefault="00CF7619" w:rsidP="00092931">
      <w:pPr>
        <w:suppressAutoHyphens/>
        <w:ind w:firstLine="284"/>
        <w:rPr>
          <w:rFonts w:eastAsia="Times New Roman"/>
          <w:szCs w:val="20"/>
          <w:lang w:val="fr-FR" w:eastAsia="fr-FR"/>
        </w:rPr>
      </w:pPr>
      <w:r>
        <w:rPr>
          <w:rFonts w:eastAsia="Times New Roman"/>
          <w:szCs w:val="20"/>
          <w:lang w:val="fr-FR" w:eastAsia="fr-FR"/>
        </w:rPr>
        <w:fldChar w:fldCharType="begin"/>
      </w:r>
      <w:r>
        <w:rPr>
          <w:rFonts w:eastAsia="Times New Roman"/>
          <w:szCs w:val="20"/>
          <w:lang w:val="fr-FR" w:eastAsia="fr-FR"/>
        </w:rPr>
        <w:instrText xml:space="preserve"> SEQ level0 \*arabic </w:instrText>
      </w:r>
      <w:r>
        <w:rPr>
          <w:rFonts w:eastAsia="Times New Roman"/>
          <w:szCs w:val="20"/>
          <w:lang w:val="fr-FR" w:eastAsia="fr-FR"/>
        </w:rPr>
        <w:fldChar w:fldCharType="separate"/>
      </w:r>
      <w:r>
        <w:rPr>
          <w:rFonts w:eastAsia="Times New Roman"/>
          <w:noProof/>
          <w:szCs w:val="20"/>
          <w:lang w:val="fr-FR" w:eastAsia="fr-FR"/>
        </w:rPr>
        <w:t>9</w:t>
      </w:r>
      <w:r>
        <w:rPr>
          <w:rFonts w:eastAsia="Times New Roman"/>
          <w:szCs w:val="20"/>
          <w:lang w:val="fr-FR" w:eastAsia="fr-FR"/>
        </w:rPr>
        <w:fldChar w:fldCharType="end"/>
      </w:r>
      <w:r>
        <w:rPr>
          <w:rFonts w:eastAsia="Times New Roman"/>
          <w:szCs w:val="20"/>
          <w:lang w:val="fr-FR" w:eastAsia="fr-FR"/>
        </w:rPr>
        <w:t>.  </w:t>
      </w:r>
      <w:r w:rsidRPr="00092931">
        <w:rPr>
          <w:rFonts w:eastAsia="Times New Roman"/>
          <w:szCs w:val="20"/>
          <w:lang w:val="fr-FR" w:eastAsia="fr-FR"/>
        </w:rPr>
        <w:t xml:space="preserve">La présidence du Conseil des </w:t>
      </w:r>
      <w:r>
        <w:rPr>
          <w:rFonts w:eastAsia="Times New Roman"/>
          <w:szCs w:val="20"/>
          <w:lang w:val="fr-FR" w:eastAsia="fr-FR"/>
        </w:rPr>
        <w:t>m</w:t>
      </w:r>
      <w:r w:rsidRPr="00092931">
        <w:rPr>
          <w:rFonts w:eastAsia="Times New Roman"/>
          <w:szCs w:val="20"/>
          <w:lang w:val="fr-FR" w:eastAsia="fr-FR"/>
        </w:rPr>
        <w:t>inistres interjeta appel.</w:t>
      </w:r>
    </w:p>
    <w:p w:rsidR="00CF7619" w:rsidRPr="00092931" w:rsidRDefault="00CF7619" w:rsidP="00092931">
      <w:pPr>
        <w:suppressAutoHyphens/>
        <w:ind w:firstLine="284"/>
        <w:rPr>
          <w:rFonts w:eastAsia="Times New Roman"/>
          <w:szCs w:val="20"/>
          <w:lang w:val="fr-FR" w:eastAsia="fr-FR"/>
        </w:rPr>
      </w:pPr>
      <w:r w:rsidRPr="00092931">
        <w:rPr>
          <w:rFonts w:eastAsia="Times New Roman"/>
          <w:szCs w:val="20"/>
          <w:lang w:val="fr-FR" w:eastAsia="fr-FR"/>
        </w:rPr>
        <w:t xml:space="preserve">Par </w:t>
      </w:r>
      <w:r>
        <w:rPr>
          <w:rFonts w:eastAsia="Times New Roman"/>
          <w:szCs w:val="20"/>
          <w:lang w:val="fr-FR" w:eastAsia="fr-FR"/>
        </w:rPr>
        <w:t>une</w:t>
      </w:r>
      <w:r w:rsidRPr="00092931">
        <w:rPr>
          <w:rFonts w:eastAsia="Times New Roman"/>
          <w:szCs w:val="20"/>
          <w:lang w:val="fr-FR" w:eastAsia="fr-FR"/>
        </w:rPr>
        <w:t xml:space="preserve"> décision</w:t>
      </w:r>
      <w:r>
        <w:rPr>
          <w:rFonts w:eastAsia="Times New Roman"/>
          <w:szCs w:val="20"/>
          <w:lang w:val="fr-FR" w:eastAsia="fr-FR"/>
        </w:rPr>
        <w:t xml:space="preserve"> </w:t>
      </w:r>
      <w:r w:rsidRPr="00092931">
        <w:rPr>
          <w:rFonts w:eastAsia="Times New Roman"/>
          <w:szCs w:val="20"/>
          <w:lang w:val="fr-FR" w:eastAsia="fr-FR"/>
        </w:rPr>
        <w:t>n</w:t>
      </w:r>
      <w:r w:rsidRPr="00092931">
        <w:rPr>
          <w:rFonts w:eastAsia="Times New Roman"/>
          <w:szCs w:val="20"/>
          <w:vertAlign w:val="superscript"/>
          <w:lang w:val="fr-FR" w:eastAsia="fr-FR"/>
        </w:rPr>
        <w:t>o</w:t>
      </w:r>
      <w:r w:rsidRPr="00092931">
        <w:rPr>
          <w:rFonts w:eastAsia="Times New Roman"/>
          <w:szCs w:val="20"/>
          <w:lang w:val="fr-FR" w:eastAsia="fr-FR"/>
        </w:rPr>
        <w:t xml:space="preserve"> 3017 du 6 mai 2006, le Conseil d</w:t>
      </w:r>
      <w:r>
        <w:rPr>
          <w:rFonts w:eastAsia="Times New Roman"/>
          <w:szCs w:val="20"/>
          <w:lang w:val="fr-FR" w:eastAsia="fr-FR"/>
        </w:rPr>
        <w:t>’</w:t>
      </w:r>
      <w:r w:rsidRPr="00092931">
        <w:rPr>
          <w:rFonts w:eastAsia="Times New Roman"/>
          <w:szCs w:val="20"/>
          <w:lang w:val="fr-FR" w:eastAsia="fr-FR"/>
        </w:rPr>
        <w:t>État rejeta l</w:t>
      </w:r>
      <w:r>
        <w:rPr>
          <w:rFonts w:eastAsia="Times New Roman"/>
          <w:szCs w:val="20"/>
          <w:lang w:val="fr-FR" w:eastAsia="fr-FR"/>
        </w:rPr>
        <w:t>’</w:t>
      </w:r>
      <w:r w:rsidRPr="00092931">
        <w:rPr>
          <w:rFonts w:eastAsia="Times New Roman"/>
          <w:szCs w:val="20"/>
          <w:lang w:val="fr-FR" w:eastAsia="fr-FR"/>
        </w:rPr>
        <w:t>appel au motif qu</w:t>
      </w:r>
      <w:r>
        <w:rPr>
          <w:rFonts w:eastAsia="Times New Roman"/>
          <w:szCs w:val="20"/>
          <w:lang w:val="fr-FR" w:eastAsia="fr-FR"/>
        </w:rPr>
        <w:t>’</w:t>
      </w:r>
      <w:r w:rsidRPr="00092931">
        <w:rPr>
          <w:rFonts w:eastAsia="Times New Roman"/>
          <w:szCs w:val="20"/>
          <w:lang w:val="fr-FR" w:eastAsia="fr-FR"/>
        </w:rPr>
        <w:t>il n</w:t>
      </w:r>
      <w:r>
        <w:rPr>
          <w:rFonts w:eastAsia="Times New Roman"/>
          <w:szCs w:val="20"/>
          <w:lang w:val="fr-FR" w:eastAsia="fr-FR"/>
        </w:rPr>
        <w:t>’</w:t>
      </w:r>
      <w:r w:rsidRPr="00092931">
        <w:rPr>
          <w:rFonts w:eastAsia="Times New Roman"/>
          <w:szCs w:val="20"/>
          <w:lang w:val="fr-FR" w:eastAsia="fr-FR"/>
        </w:rPr>
        <w:t>avait pas été notifié correctement.</w:t>
      </w:r>
    </w:p>
    <w:p w:rsidR="00CF7619" w:rsidRPr="00092931" w:rsidRDefault="00CF7619" w:rsidP="00092931">
      <w:pPr>
        <w:suppressAutoHyphens/>
        <w:ind w:firstLine="284"/>
        <w:rPr>
          <w:rFonts w:eastAsia="Times New Roman"/>
          <w:szCs w:val="20"/>
          <w:lang w:val="fr-FR" w:eastAsia="fr-FR"/>
        </w:rPr>
      </w:pPr>
      <w:r>
        <w:rPr>
          <w:rFonts w:eastAsia="Times New Roman"/>
          <w:szCs w:val="20"/>
          <w:lang w:val="fr-FR" w:eastAsia="fr-FR"/>
        </w:rPr>
        <w:fldChar w:fldCharType="begin"/>
      </w:r>
      <w:r>
        <w:rPr>
          <w:rFonts w:eastAsia="Times New Roman"/>
          <w:szCs w:val="20"/>
          <w:lang w:val="fr-FR" w:eastAsia="fr-FR"/>
        </w:rPr>
        <w:instrText xml:space="preserve"> SEQ level0 \*arabic </w:instrText>
      </w:r>
      <w:r>
        <w:rPr>
          <w:rFonts w:eastAsia="Times New Roman"/>
          <w:szCs w:val="20"/>
          <w:lang w:val="fr-FR" w:eastAsia="fr-FR"/>
        </w:rPr>
        <w:fldChar w:fldCharType="separate"/>
      </w:r>
      <w:r>
        <w:rPr>
          <w:rFonts w:eastAsia="Times New Roman"/>
          <w:noProof/>
          <w:szCs w:val="20"/>
          <w:lang w:val="fr-FR" w:eastAsia="fr-FR"/>
        </w:rPr>
        <w:t>10</w:t>
      </w:r>
      <w:r>
        <w:rPr>
          <w:rFonts w:eastAsia="Times New Roman"/>
          <w:szCs w:val="20"/>
          <w:lang w:val="fr-FR" w:eastAsia="fr-FR"/>
        </w:rPr>
        <w:fldChar w:fldCharType="end"/>
      </w:r>
      <w:r>
        <w:rPr>
          <w:rFonts w:eastAsia="Times New Roman"/>
          <w:szCs w:val="20"/>
          <w:lang w:val="fr-FR" w:eastAsia="fr-FR"/>
        </w:rPr>
        <w:t>.  </w:t>
      </w:r>
      <w:r w:rsidRPr="00092931">
        <w:rPr>
          <w:rFonts w:eastAsia="Times New Roman"/>
          <w:szCs w:val="20"/>
          <w:lang w:val="fr-FR" w:eastAsia="fr-FR"/>
        </w:rPr>
        <w:t>Toutefois, l</w:t>
      </w:r>
      <w:r>
        <w:rPr>
          <w:rFonts w:eastAsia="Times New Roman"/>
          <w:szCs w:val="20"/>
          <w:lang w:val="fr-FR" w:eastAsia="fr-FR"/>
        </w:rPr>
        <w:t>’</w:t>
      </w:r>
      <w:r w:rsidRPr="00092931">
        <w:rPr>
          <w:rFonts w:eastAsia="Times New Roman"/>
          <w:szCs w:val="20"/>
          <w:lang w:val="fr-FR" w:eastAsia="fr-FR"/>
        </w:rPr>
        <w:t>administration n</w:t>
      </w:r>
      <w:r>
        <w:rPr>
          <w:rFonts w:eastAsia="Times New Roman"/>
          <w:szCs w:val="20"/>
          <w:lang w:val="fr-FR" w:eastAsia="fr-FR"/>
        </w:rPr>
        <w:t>’</w:t>
      </w:r>
      <w:r w:rsidRPr="00092931">
        <w:rPr>
          <w:rFonts w:eastAsia="Times New Roman"/>
          <w:szCs w:val="20"/>
          <w:lang w:val="fr-FR" w:eastAsia="fr-FR"/>
        </w:rPr>
        <w:t xml:space="preserve">exécuta pas </w:t>
      </w:r>
      <w:r>
        <w:rPr>
          <w:rFonts w:eastAsia="Times New Roman"/>
          <w:szCs w:val="20"/>
          <w:lang w:val="fr-FR" w:eastAsia="fr-FR"/>
        </w:rPr>
        <w:t>le jugement</w:t>
      </w:r>
      <w:r w:rsidRPr="00092931">
        <w:rPr>
          <w:rFonts w:eastAsia="Times New Roman"/>
          <w:szCs w:val="20"/>
          <w:lang w:val="fr-FR" w:eastAsia="fr-FR"/>
        </w:rPr>
        <w:t xml:space="preserve"> du TAR.</w:t>
      </w:r>
    </w:p>
    <w:p w:rsidR="00CF7619" w:rsidRDefault="00CF7619" w:rsidP="00092931">
      <w:pPr>
        <w:suppressAutoHyphens/>
        <w:ind w:firstLine="284"/>
        <w:rPr>
          <w:rFonts w:eastAsia="Times New Roman"/>
          <w:szCs w:val="20"/>
          <w:lang w:val="fr-FR" w:eastAsia="fr-FR"/>
        </w:rPr>
      </w:pPr>
      <w:r>
        <w:rPr>
          <w:rFonts w:eastAsia="Times New Roman"/>
          <w:szCs w:val="20"/>
          <w:lang w:val="fr-FR" w:eastAsia="fr-FR"/>
        </w:rPr>
        <w:fldChar w:fldCharType="begin"/>
      </w:r>
      <w:r>
        <w:rPr>
          <w:rFonts w:eastAsia="Times New Roman"/>
          <w:szCs w:val="20"/>
          <w:lang w:val="fr-FR" w:eastAsia="fr-FR"/>
        </w:rPr>
        <w:instrText xml:space="preserve"> SEQ level0 \*arabic </w:instrText>
      </w:r>
      <w:r>
        <w:rPr>
          <w:rFonts w:eastAsia="Times New Roman"/>
          <w:szCs w:val="20"/>
          <w:lang w:val="fr-FR" w:eastAsia="fr-FR"/>
        </w:rPr>
        <w:fldChar w:fldCharType="separate"/>
      </w:r>
      <w:r>
        <w:rPr>
          <w:rFonts w:eastAsia="Times New Roman"/>
          <w:noProof/>
          <w:szCs w:val="20"/>
          <w:lang w:val="fr-FR" w:eastAsia="fr-FR"/>
        </w:rPr>
        <w:t>11</w:t>
      </w:r>
      <w:r>
        <w:rPr>
          <w:rFonts w:eastAsia="Times New Roman"/>
          <w:szCs w:val="20"/>
          <w:lang w:val="fr-FR" w:eastAsia="fr-FR"/>
        </w:rPr>
        <w:fldChar w:fldCharType="end"/>
      </w:r>
      <w:r>
        <w:rPr>
          <w:rFonts w:eastAsia="Times New Roman"/>
          <w:szCs w:val="20"/>
          <w:lang w:val="fr-FR" w:eastAsia="fr-FR"/>
        </w:rPr>
        <w:t>.  </w:t>
      </w:r>
      <w:r w:rsidRPr="00092931">
        <w:rPr>
          <w:rFonts w:eastAsia="Times New Roman"/>
          <w:szCs w:val="20"/>
          <w:lang w:val="fr-FR" w:eastAsia="fr-FR"/>
        </w:rPr>
        <w:t>Les requérants introduisirent un recours en exécution (</w:t>
      </w:r>
      <w:r w:rsidRPr="00092931">
        <w:rPr>
          <w:rFonts w:eastAsia="Times New Roman"/>
          <w:i/>
          <w:szCs w:val="20"/>
          <w:lang w:val="fr-FR" w:eastAsia="fr-FR"/>
        </w:rPr>
        <w:t>giudizio di ottemperanza</w:t>
      </w:r>
      <w:r w:rsidRPr="00092931">
        <w:rPr>
          <w:rFonts w:eastAsia="Times New Roman"/>
          <w:szCs w:val="20"/>
          <w:lang w:val="fr-FR" w:eastAsia="fr-FR"/>
        </w:rPr>
        <w:t xml:space="preserve">) devant le TAR de </w:t>
      </w:r>
      <w:r>
        <w:rPr>
          <w:rFonts w:eastAsia="Times New Roman"/>
          <w:szCs w:val="20"/>
          <w:lang w:val="fr-FR" w:eastAsia="fr-FR"/>
        </w:rPr>
        <w:t xml:space="preserve">la </w:t>
      </w:r>
      <w:r w:rsidRPr="00092931">
        <w:rPr>
          <w:rFonts w:eastAsia="Times New Roman"/>
          <w:szCs w:val="20"/>
          <w:lang w:val="fr-FR" w:eastAsia="fr-FR"/>
        </w:rPr>
        <w:t>Campanie.</w:t>
      </w:r>
    </w:p>
    <w:p w:rsidR="00CF7619" w:rsidRDefault="00CF7619" w:rsidP="00092931">
      <w:pPr>
        <w:suppressAutoHyphens/>
        <w:ind w:firstLine="284"/>
        <w:rPr>
          <w:rFonts w:eastAsia="Times New Roman"/>
          <w:szCs w:val="20"/>
          <w:lang w:val="fr-FR" w:eastAsia="fr-FR"/>
        </w:rPr>
      </w:pPr>
      <w:r w:rsidRPr="00092931">
        <w:rPr>
          <w:rFonts w:eastAsia="Times New Roman"/>
          <w:szCs w:val="20"/>
          <w:lang w:val="fr-FR" w:eastAsia="fr-FR"/>
        </w:rPr>
        <w:t>L</w:t>
      </w:r>
      <w:r>
        <w:rPr>
          <w:rFonts w:eastAsia="Times New Roman"/>
          <w:szCs w:val="20"/>
          <w:lang w:val="fr-FR" w:eastAsia="fr-FR"/>
        </w:rPr>
        <w:t>’</w:t>
      </w:r>
      <w:r w:rsidRPr="00092931">
        <w:rPr>
          <w:rFonts w:eastAsia="Times New Roman"/>
          <w:szCs w:val="20"/>
          <w:lang w:val="fr-FR" w:eastAsia="fr-FR"/>
        </w:rPr>
        <w:t>administration s</w:t>
      </w:r>
      <w:r>
        <w:rPr>
          <w:rFonts w:eastAsia="Times New Roman"/>
          <w:szCs w:val="20"/>
          <w:lang w:val="fr-FR" w:eastAsia="fr-FR"/>
        </w:rPr>
        <w:t>’</w:t>
      </w:r>
      <w:r w:rsidRPr="00092931">
        <w:rPr>
          <w:rFonts w:eastAsia="Times New Roman"/>
          <w:szCs w:val="20"/>
          <w:lang w:val="fr-FR" w:eastAsia="fr-FR"/>
        </w:rPr>
        <w:t xml:space="preserve">opposa </w:t>
      </w:r>
      <w:r>
        <w:rPr>
          <w:rFonts w:eastAsia="Times New Roman"/>
          <w:szCs w:val="20"/>
          <w:lang w:val="fr-FR" w:eastAsia="fr-FR"/>
        </w:rPr>
        <w:t xml:space="preserve">à leur demande </w:t>
      </w:r>
      <w:r w:rsidRPr="00092931">
        <w:rPr>
          <w:rFonts w:eastAsia="Times New Roman"/>
          <w:szCs w:val="20"/>
          <w:lang w:val="fr-FR" w:eastAsia="fr-FR"/>
        </w:rPr>
        <w:t xml:space="preserve">en </w:t>
      </w:r>
      <w:r>
        <w:rPr>
          <w:rFonts w:eastAsia="Times New Roman"/>
          <w:szCs w:val="20"/>
          <w:lang w:val="fr-FR" w:eastAsia="fr-FR"/>
        </w:rPr>
        <w:t>faisant valoir :</w:t>
      </w:r>
    </w:p>
    <w:p w:rsidR="00CF7619" w:rsidRDefault="00CF7619" w:rsidP="00092931">
      <w:pPr>
        <w:suppressAutoHyphens/>
        <w:ind w:firstLine="284"/>
        <w:rPr>
          <w:rFonts w:eastAsia="Times New Roman"/>
          <w:szCs w:val="20"/>
          <w:lang w:val="fr-FR" w:eastAsia="fr-FR"/>
        </w:rPr>
      </w:pPr>
      <w:r>
        <w:rPr>
          <w:rFonts w:eastAsia="Times New Roman"/>
          <w:szCs w:val="20"/>
          <w:lang w:val="fr-FR" w:eastAsia="fr-FR"/>
        </w:rPr>
        <w:t>– que par suite</w:t>
      </w:r>
      <w:r w:rsidRPr="00092931">
        <w:rPr>
          <w:rFonts w:eastAsia="Times New Roman"/>
          <w:szCs w:val="20"/>
          <w:lang w:val="fr-FR" w:eastAsia="fr-FR"/>
        </w:rPr>
        <w:t xml:space="preserve"> de l</w:t>
      </w:r>
      <w:r>
        <w:rPr>
          <w:rFonts w:eastAsia="Times New Roman"/>
          <w:szCs w:val="20"/>
          <w:lang w:val="fr-FR" w:eastAsia="fr-FR"/>
        </w:rPr>
        <w:t>’</w:t>
      </w:r>
      <w:r w:rsidRPr="00092931">
        <w:rPr>
          <w:rFonts w:eastAsia="Times New Roman"/>
          <w:szCs w:val="20"/>
          <w:lang w:val="fr-FR" w:eastAsia="fr-FR"/>
        </w:rPr>
        <w:t>entrée en vigueur de la loi n</w:t>
      </w:r>
      <w:r w:rsidRPr="00092931">
        <w:rPr>
          <w:rFonts w:eastAsia="Times New Roman"/>
          <w:szCs w:val="20"/>
          <w:vertAlign w:val="superscript"/>
          <w:lang w:val="fr-FR" w:eastAsia="fr-FR"/>
        </w:rPr>
        <w:t>o</w:t>
      </w:r>
      <w:r w:rsidRPr="00092931">
        <w:rPr>
          <w:rFonts w:eastAsia="Times New Roman"/>
          <w:szCs w:val="20"/>
          <w:lang w:val="fr-FR" w:eastAsia="fr-FR"/>
        </w:rPr>
        <w:t xml:space="preserve"> 388 du 23</w:t>
      </w:r>
      <w:r>
        <w:rPr>
          <w:rFonts w:eastAsia="Times New Roman"/>
          <w:szCs w:val="20"/>
          <w:lang w:val="fr-FR" w:eastAsia="fr-FR"/>
        </w:rPr>
        <w:t> </w:t>
      </w:r>
      <w:r w:rsidRPr="00092931">
        <w:rPr>
          <w:rFonts w:eastAsia="Times New Roman"/>
          <w:szCs w:val="20"/>
          <w:lang w:val="fr-FR" w:eastAsia="fr-FR"/>
        </w:rPr>
        <w:t>décembre</w:t>
      </w:r>
      <w:r>
        <w:rPr>
          <w:rFonts w:eastAsia="Times New Roman"/>
          <w:szCs w:val="20"/>
          <w:lang w:val="fr-FR" w:eastAsia="fr-FR"/>
        </w:rPr>
        <w:t> </w:t>
      </w:r>
      <w:r w:rsidRPr="00092931">
        <w:rPr>
          <w:rFonts w:eastAsia="Times New Roman"/>
          <w:szCs w:val="20"/>
          <w:lang w:val="fr-FR" w:eastAsia="fr-FR"/>
        </w:rPr>
        <w:t>2000 (</w:t>
      </w:r>
      <w:r>
        <w:rPr>
          <w:rFonts w:eastAsia="Times New Roman"/>
          <w:szCs w:val="20"/>
          <w:lang w:val="fr-FR" w:eastAsia="fr-FR"/>
        </w:rPr>
        <w:t xml:space="preserve">ou </w:t>
      </w:r>
      <w:r w:rsidRPr="00092931">
        <w:rPr>
          <w:rFonts w:eastAsia="Times New Roman"/>
          <w:szCs w:val="20"/>
          <w:lang w:val="fr-FR" w:eastAsia="fr-FR"/>
        </w:rPr>
        <w:t>« loi n</w:t>
      </w:r>
      <w:r w:rsidRPr="00092931">
        <w:rPr>
          <w:rFonts w:eastAsia="Times New Roman"/>
          <w:szCs w:val="20"/>
          <w:vertAlign w:val="superscript"/>
          <w:lang w:val="fr-FR" w:eastAsia="fr-FR"/>
        </w:rPr>
        <w:t>o</w:t>
      </w:r>
      <w:r w:rsidRPr="00092931">
        <w:rPr>
          <w:rFonts w:eastAsia="Times New Roman"/>
          <w:szCs w:val="20"/>
          <w:lang w:val="fr-FR" w:eastAsia="fr-FR"/>
        </w:rPr>
        <w:t xml:space="preserve"> 388/2000 »), les requérants ne pouvaient plus réclamer le droit à l</w:t>
      </w:r>
      <w:r>
        <w:rPr>
          <w:rFonts w:eastAsia="Times New Roman"/>
          <w:szCs w:val="20"/>
          <w:lang w:val="fr-FR" w:eastAsia="fr-FR"/>
        </w:rPr>
        <w:t>’</w:t>
      </w:r>
      <w:r w:rsidRPr="00092931">
        <w:rPr>
          <w:rFonts w:eastAsia="Times New Roman"/>
          <w:szCs w:val="20"/>
          <w:lang w:val="fr-FR" w:eastAsia="fr-FR"/>
        </w:rPr>
        <w:t>ajustement</w:t>
      </w:r>
      <w:r>
        <w:rPr>
          <w:rFonts w:eastAsia="Times New Roman"/>
          <w:szCs w:val="20"/>
          <w:lang w:val="fr-FR" w:eastAsia="fr-FR"/>
        </w:rPr>
        <w:t> ;</w:t>
      </w:r>
    </w:p>
    <w:p w:rsidR="00CF7619" w:rsidRPr="00092931" w:rsidRDefault="00CF7619" w:rsidP="00092931">
      <w:pPr>
        <w:suppressAutoHyphens/>
        <w:ind w:firstLine="284"/>
        <w:rPr>
          <w:rFonts w:eastAsia="Times New Roman"/>
          <w:szCs w:val="20"/>
          <w:lang w:val="fr-FR" w:eastAsia="fr-FR"/>
        </w:rPr>
      </w:pPr>
      <w:r>
        <w:rPr>
          <w:rFonts w:eastAsia="Times New Roman"/>
          <w:szCs w:val="20"/>
          <w:lang w:val="fr-FR" w:eastAsia="fr-FR"/>
        </w:rPr>
        <w:t>–</w:t>
      </w:r>
      <w:r w:rsidRPr="00092931">
        <w:rPr>
          <w:rFonts w:eastAsia="Times New Roman"/>
          <w:szCs w:val="20"/>
          <w:lang w:val="fr-FR" w:eastAsia="fr-FR"/>
        </w:rPr>
        <w:t xml:space="preserve"> </w:t>
      </w:r>
      <w:r>
        <w:rPr>
          <w:rFonts w:eastAsia="Times New Roman"/>
          <w:szCs w:val="20"/>
          <w:lang w:val="fr-FR" w:eastAsia="fr-FR"/>
        </w:rPr>
        <w:t>qu’en effet</w:t>
      </w:r>
      <w:r w:rsidRPr="00092931">
        <w:rPr>
          <w:rFonts w:eastAsia="Times New Roman"/>
          <w:szCs w:val="20"/>
          <w:lang w:val="fr-FR" w:eastAsia="fr-FR"/>
        </w:rPr>
        <w:t>, l</w:t>
      </w:r>
      <w:r>
        <w:rPr>
          <w:rFonts w:eastAsia="Times New Roman"/>
          <w:szCs w:val="20"/>
          <w:lang w:val="fr-FR" w:eastAsia="fr-FR"/>
        </w:rPr>
        <w:t>’</w:t>
      </w:r>
      <w:r w:rsidRPr="00092931">
        <w:rPr>
          <w:rFonts w:eastAsia="Times New Roman"/>
          <w:szCs w:val="20"/>
          <w:lang w:val="fr-FR" w:eastAsia="fr-FR"/>
        </w:rPr>
        <w:t>article 50 de la loi interdi</w:t>
      </w:r>
      <w:r>
        <w:rPr>
          <w:rFonts w:eastAsia="Times New Roman"/>
          <w:szCs w:val="20"/>
          <w:lang w:val="fr-FR" w:eastAsia="fr-FR"/>
        </w:rPr>
        <w:t>sai</w:t>
      </w:r>
      <w:r w:rsidRPr="00092931">
        <w:rPr>
          <w:rFonts w:eastAsia="Times New Roman"/>
          <w:szCs w:val="20"/>
          <w:lang w:val="fr-FR" w:eastAsia="fr-FR"/>
        </w:rPr>
        <w:t>t</w:t>
      </w:r>
      <w:r>
        <w:rPr>
          <w:rFonts w:eastAsia="Times New Roman"/>
          <w:szCs w:val="20"/>
          <w:lang w:val="fr-FR" w:eastAsia="fr-FR"/>
        </w:rPr>
        <w:t xml:space="preserve"> désormais</w:t>
      </w:r>
      <w:r w:rsidRPr="00092931">
        <w:rPr>
          <w:rFonts w:eastAsia="Times New Roman"/>
          <w:szCs w:val="20"/>
          <w:lang w:val="fr-FR" w:eastAsia="fr-FR"/>
        </w:rPr>
        <w:t xml:space="preserve">, avec effet rétroactif, de </w:t>
      </w:r>
      <w:r>
        <w:rPr>
          <w:rFonts w:eastAsia="Times New Roman"/>
          <w:szCs w:val="20"/>
          <w:lang w:val="fr-FR" w:eastAsia="fr-FR"/>
        </w:rPr>
        <w:t>procéder au</w:t>
      </w:r>
      <w:r w:rsidRPr="00092931">
        <w:rPr>
          <w:rFonts w:eastAsia="Times New Roman"/>
          <w:szCs w:val="20"/>
          <w:lang w:val="fr-FR" w:eastAsia="fr-FR"/>
        </w:rPr>
        <w:t xml:space="preserve"> paiement des créances fixées </w:t>
      </w:r>
      <w:r>
        <w:rPr>
          <w:rFonts w:eastAsia="Times New Roman"/>
          <w:szCs w:val="20"/>
          <w:lang w:val="fr-FR" w:eastAsia="fr-FR"/>
        </w:rPr>
        <w:t xml:space="preserve">en la matière </w:t>
      </w:r>
      <w:r w:rsidRPr="00092931">
        <w:rPr>
          <w:rFonts w:eastAsia="Times New Roman"/>
          <w:szCs w:val="20"/>
          <w:lang w:val="fr-FR" w:eastAsia="fr-FR"/>
        </w:rPr>
        <w:t xml:space="preserve">par des décisions judiciaires </w:t>
      </w:r>
      <w:r>
        <w:rPr>
          <w:rFonts w:eastAsia="Times New Roman"/>
          <w:szCs w:val="20"/>
          <w:lang w:val="fr-FR" w:eastAsia="fr-FR"/>
        </w:rPr>
        <w:t xml:space="preserve">autres que celles qui étaient déjà </w:t>
      </w:r>
      <w:r w:rsidRPr="00092931">
        <w:rPr>
          <w:rFonts w:eastAsia="Times New Roman"/>
          <w:szCs w:val="20"/>
          <w:lang w:val="fr-FR" w:eastAsia="fr-FR"/>
        </w:rPr>
        <w:t xml:space="preserve">devenues définitives à la date de </w:t>
      </w:r>
      <w:r>
        <w:rPr>
          <w:rFonts w:eastAsia="Times New Roman"/>
          <w:szCs w:val="20"/>
          <w:lang w:val="fr-FR" w:eastAsia="fr-FR"/>
        </w:rPr>
        <w:t xml:space="preserve">son </w:t>
      </w:r>
      <w:r w:rsidRPr="00092931">
        <w:rPr>
          <w:rFonts w:eastAsia="Times New Roman"/>
          <w:szCs w:val="20"/>
          <w:lang w:val="fr-FR" w:eastAsia="fr-FR"/>
        </w:rPr>
        <w:t>entrée en vigueur.</w:t>
      </w:r>
    </w:p>
    <w:p w:rsidR="00CF7619" w:rsidRDefault="00CF7619" w:rsidP="009B26BA">
      <w:pPr>
        <w:suppressAutoHyphens/>
        <w:ind w:firstLine="284"/>
        <w:rPr>
          <w:rFonts w:eastAsia="Times New Roman"/>
          <w:szCs w:val="20"/>
          <w:lang w:val="fr-FR" w:eastAsia="fr-FR"/>
        </w:rPr>
      </w:pPr>
      <w:r>
        <w:rPr>
          <w:rFonts w:eastAsia="Times New Roman"/>
          <w:szCs w:val="20"/>
          <w:lang w:val="fr-FR" w:eastAsia="fr-FR"/>
        </w:rPr>
        <w:fldChar w:fldCharType="begin"/>
      </w:r>
      <w:r>
        <w:rPr>
          <w:rFonts w:eastAsia="Times New Roman"/>
          <w:szCs w:val="20"/>
          <w:lang w:val="fr-FR" w:eastAsia="fr-FR"/>
        </w:rPr>
        <w:instrText xml:space="preserve"> SEQ level0 \*arabic </w:instrText>
      </w:r>
      <w:r>
        <w:rPr>
          <w:rFonts w:eastAsia="Times New Roman"/>
          <w:szCs w:val="20"/>
          <w:lang w:val="fr-FR" w:eastAsia="fr-FR"/>
        </w:rPr>
        <w:fldChar w:fldCharType="separate"/>
      </w:r>
      <w:r>
        <w:rPr>
          <w:rFonts w:eastAsia="Times New Roman"/>
          <w:noProof/>
          <w:szCs w:val="20"/>
          <w:lang w:val="fr-FR" w:eastAsia="fr-FR"/>
        </w:rPr>
        <w:t>12</w:t>
      </w:r>
      <w:r>
        <w:rPr>
          <w:rFonts w:eastAsia="Times New Roman"/>
          <w:szCs w:val="20"/>
          <w:lang w:val="fr-FR" w:eastAsia="fr-FR"/>
        </w:rPr>
        <w:fldChar w:fldCharType="end"/>
      </w:r>
      <w:r>
        <w:rPr>
          <w:rFonts w:eastAsia="Times New Roman"/>
          <w:szCs w:val="20"/>
          <w:lang w:val="fr-FR" w:eastAsia="fr-FR"/>
        </w:rPr>
        <w:t>.  </w:t>
      </w:r>
      <w:r w:rsidRPr="00092931">
        <w:rPr>
          <w:rFonts w:eastAsia="Times New Roman"/>
          <w:szCs w:val="20"/>
          <w:lang w:val="fr-FR" w:eastAsia="fr-FR"/>
        </w:rPr>
        <w:t>Par un arrêt du 10 janvier 2008, le TAR ordonna à l</w:t>
      </w:r>
      <w:r>
        <w:rPr>
          <w:rFonts w:eastAsia="Times New Roman"/>
          <w:szCs w:val="20"/>
          <w:lang w:val="fr-FR" w:eastAsia="fr-FR"/>
        </w:rPr>
        <w:t>’</w:t>
      </w:r>
      <w:r w:rsidRPr="00092931">
        <w:rPr>
          <w:rFonts w:eastAsia="Times New Roman"/>
          <w:szCs w:val="20"/>
          <w:lang w:val="fr-FR" w:eastAsia="fr-FR"/>
        </w:rPr>
        <w:t>administration d</w:t>
      </w:r>
      <w:r>
        <w:rPr>
          <w:rFonts w:eastAsia="Times New Roman"/>
          <w:szCs w:val="20"/>
          <w:lang w:val="fr-FR" w:eastAsia="fr-FR"/>
        </w:rPr>
        <w:t>’</w:t>
      </w:r>
      <w:r w:rsidRPr="00092931">
        <w:rPr>
          <w:rFonts w:eastAsia="Times New Roman"/>
          <w:szCs w:val="20"/>
          <w:lang w:val="fr-FR" w:eastAsia="fr-FR"/>
        </w:rPr>
        <w:t xml:space="preserve">exécuter </w:t>
      </w:r>
      <w:r>
        <w:rPr>
          <w:rFonts w:eastAsia="Times New Roman"/>
          <w:szCs w:val="20"/>
          <w:lang w:val="fr-FR" w:eastAsia="fr-FR"/>
        </w:rPr>
        <w:t>son jugement</w:t>
      </w:r>
      <w:r w:rsidRPr="00092931">
        <w:rPr>
          <w:rFonts w:eastAsia="Times New Roman"/>
          <w:szCs w:val="20"/>
          <w:lang w:val="fr-FR" w:eastAsia="fr-FR"/>
        </w:rPr>
        <w:t xml:space="preserve"> du 6 décembre 1995.</w:t>
      </w:r>
      <w:r>
        <w:rPr>
          <w:rFonts w:eastAsia="Times New Roman"/>
          <w:szCs w:val="20"/>
          <w:lang w:val="fr-FR" w:eastAsia="fr-FR"/>
        </w:rPr>
        <w:t xml:space="preserve"> Dans leurs motifs, les</w:t>
      </w:r>
      <w:r w:rsidRPr="00092931">
        <w:rPr>
          <w:rFonts w:eastAsia="Times New Roman"/>
          <w:szCs w:val="20"/>
          <w:lang w:val="fr-FR" w:eastAsia="fr-FR"/>
        </w:rPr>
        <w:t xml:space="preserve"> juges</w:t>
      </w:r>
      <w:r>
        <w:rPr>
          <w:rFonts w:eastAsia="Times New Roman"/>
          <w:szCs w:val="20"/>
          <w:lang w:val="fr-FR" w:eastAsia="fr-FR"/>
        </w:rPr>
        <w:t xml:space="preserve"> considérèrent :</w:t>
      </w:r>
    </w:p>
    <w:p w:rsidR="00CF7619" w:rsidRDefault="00CF7619" w:rsidP="009B26BA">
      <w:pPr>
        <w:suppressAutoHyphens/>
        <w:ind w:firstLine="284"/>
        <w:rPr>
          <w:rFonts w:eastAsia="Times New Roman"/>
          <w:szCs w:val="20"/>
          <w:lang w:val="fr-FR" w:eastAsia="fr-FR"/>
        </w:rPr>
      </w:pPr>
      <w:r>
        <w:rPr>
          <w:rFonts w:eastAsia="Times New Roman"/>
          <w:szCs w:val="20"/>
          <w:lang w:val="fr-FR" w:eastAsia="fr-FR"/>
        </w:rPr>
        <w:t xml:space="preserve">– qu’étant donné que </w:t>
      </w:r>
      <w:r w:rsidRPr="00092931">
        <w:rPr>
          <w:rFonts w:eastAsia="Times New Roman"/>
          <w:szCs w:val="20"/>
          <w:lang w:val="fr-FR" w:eastAsia="fr-FR"/>
        </w:rPr>
        <w:t>l</w:t>
      </w:r>
      <w:r>
        <w:rPr>
          <w:rFonts w:eastAsia="Times New Roman"/>
          <w:szCs w:val="20"/>
          <w:lang w:val="fr-FR" w:eastAsia="fr-FR"/>
        </w:rPr>
        <w:t>’</w:t>
      </w:r>
      <w:r w:rsidRPr="00092931">
        <w:rPr>
          <w:rFonts w:eastAsia="Times New Roman"/>
          <w:szCs w:val="20"/>
          <w:lang w:val="fr-FR" w:eastAsia="fr-FR"/>
        </w:rPr>
        <w:t>appel de l</w:t>
      </w:r>
      <w:r>
        <w:rPr>
          <w:rFonts w:eastAsia="Times New Roman"/>
          <w:szCs w:val="20"/>
          <w:lang w:val="fr-FR" w:eastAsia="fr-FR"/>
        </w:rPr>
        <w:t>’</w:t>
      </w:r>
      <w:r w:rsidRPr="00092931">
        <w:rPr>
          <w:rFonts w:eastAsia="Times New Roman"/>
          <w:szCs w:val="20"/>
          <w:lang w:val="fr-FR" w:eastAsia="fr-FR"/>
        </w:rPr>
        <w:t xml:space="preserve">administration </w:t>
      </w:r>
      <w:r>
        <w:rPr>
          <w:rFonts w:eastAsia="Times New Roman"/>
          <w:szCs w:val="20"/>
          <w:lang w:val="fr-FR" w:eastAsia="fr-FR"/>
        </w:rPr>
        <w:t>avait</w:t>
      </w:r>
      <w:r w:rsidRPr="00092931">
        <w:rPr>
          <w:rFonts w:eastAsia="Times New Roman"/>
          <w:szCs w:val="20"/>
          <w:lang w:val="fr-FR" w:eastAsia="fr-FR"/>
        </w:rPr>
        <w:t xml:space="preserve"> été </w:t>
      </w:r>
      <w:r>
        <w:rPr>
          <w:rFonts w:eastAsia="Times New Roman"/>
          <w:szCs w:val="20"/>
          <w:lang w:val="fr-FR" w:eastAsia="fr-FR"/>
        </w:rPr>
        <w:t>déclaré</w:t>
      </w:r>
      <w:r w:rsidRPr="00092931">
        <w:rPr>
          <w:rFonts w:eastAsia="Times New Roman"/>
          <w:szCs w:val="20"/>
          <w:lang w:val="fr-FR" w:eastAsia="fr-FR"/>
        </w:rPr>
        <w:t xml:space="preserve"> irrecevable par le Conseil de l</w:t>
      </w:r>
      <w:r>
        <w:rPr>
          <w:rFonts w:eastAsia="Times New Roman"/>
          <w:szCs w:val="20"/>
          <w:lang w:val="fr-FR" w:eastAsia="fr-FR"/>
        </w:rPr>
        <w:t>’</w:t>
      </w:r>
      <w:r w:rsidRPr="00092931">
        <w:rPr>
          <w:rFonts w:eastAsia="Times New Roman"/>
          <w:szCs w:val="20"/>
          <w:lang w:val="fr-FR" w:eastAsia="fr-FR"/>
        </w:rPr>
        <w:t>État</w:t>
      </w:r>
      <w:r>
        <w:rPr>
          <w:rFonts w:eastAsia="Times New Roman"/>
          <w:szCs w:val="20"/>
          <w:lang w:val="fr-FR" w:eastAsia="fr-FR"/>
        </w:rPr>
        <w:t xml:space="preserve">, </w:t>
      </w:r>
      <w:r w:rsidRPr="00134994">
        <w:rPr>
          <w:rFonts w:eastAsia="Times New Roman"/>
          <w:szCs w:val="20"/>
          <w:lang w:val="fr-FR" w:eastAsia="fr-FR"/>
        </w:rPr>
        <w:t xml:space="preserve">ce jugement avait acquis </w:t>
      </w:r>
      <w:r>
        <w:rPr>
          <w:rFonts w:eastAsia="Times New Roman"/>
          <w:szCs w:val="20"/>
          <w:lang w:val="fr-FR" w:eastAsia="fr-FR"/>
        </w:rPr>
        <w:t>la force</w:t>
      </w:r>
      <w:r w:rsidRPr="00134994">
        <w:rPr>
          <w:rFonts w:eastAsia="Times New Roman"/>
          <w:szCs w:val="20"/>
          <w:lang w:val="fr-FR" w:eastAsia="fr-FR"/>
        </w:rPr>
        <w:t xml:space="preserve"> de la chose jugée au plus tard le 28 avril 1997</w:t>
      </w:r>
      <w:r>
        <w:rPr>
          <w:rFonts w:eastAsia="Times New Roman"/>
          <w:szCs w:val="20"/>
          <w:lang w:val="fr-FR" w:eastAsia="fr-FR"/>
        </w:rPr>
        <w:t> ;</w:t>
      </w:r>
    </w:p>
    <w:p w:rsidR="00CF7619" w:rsidRDefault="00CF7619" w:rsidP="009B26BA">
      <w:pPr>
        <w:suppressAutoHyphens/>
        <w:ind w:firstLine="284"/>
        <w:rPr>
          <w:rFonts w:eastAsia="Times New Roman"/>
          <w:szCs w:val="20"/>
          <w:lang w:val="fr-FR" w:eastAsia="fr-FR"/>
        </w:rPr>
      </w:pPr>
      <w:r>
        <w:rPr>
          <w:rFonts w:eastAsia="Times New Roman"/>
          <w:szCs w:val="20"/>
          <w:lang w:val="fr-FR" w:eastAsia="fr-FR"/>
        </w:rPr>
        <w:t>– que l’</w:t>
      </w:r>
      <w:r w:rsidRPr="00092931">
        <w:rPr>
          <w:rFonts w:eastAsia="Times New Roman"/>
          <w:szCs w:val="20"/>
          <w:lang w:val="fr-FR" w:eastAsia="fr-FR"/>
        </w:rPr>
        <w:t>article 50 de la loi n</w:t>
      </w:r>
      <w:r w:rsidRPr="00092931">
        <w:rPr>
          <w:rFonts w:eastAsia="Times New Roman"/>
          <w:szCs w:val="20"/>
          <w:vertAlign w:val="superscript"/>
          <w:lang w:val="fr-FR" w:eastAsia="fr-FR"/>
        </w:rPr>
        <w:t>o</w:t>
      </w:r>
      <w:r w:rsidRPr="00092931">
        <w:rPr>
          <w:rFonts w:eastAsia="Times New Roman"/>
          <w:szCs w:val="20"/>
          <w:lang w:val="fr-FR" w:eastAsia="fr-FR"/>
        </w:rPr>
        <w:t xml:space="preserve"> 388/2000 n</w:t>
      </w:r>
      <w:r>
        <w:rPr>
          <w:rFonts w:eastAsia="Times New Roman"/>
          <w:szCs w:val="20"/>
          <w:lang w:val="fr-FR" w:eastAsia="fr-FR"/>
        </w:rPr>
        <w:t>’</w:t>
      </w:r>
      <w:r w:rsidRPr="00092931">
        <w:rPr>
          <w:rFonts w:eastAsia="Times New Roman"/>
          <w:szCs w:val="20"/>
          <w:lang w:val="fr-FR" w:eastAsia="fr-FR"/>
        </w:rPr>
        <w:t>était donc pas applicable en l</w:t>
      </w:r>
      <w:r>
        <w:rPr>
          <w:rFonts w:eastAsia="Times New Roman"/>
          <w:szCs w:val="20"/>
          <w:lang w:val="fr-FR" w:eastAsia="fr-FR"/>
        </w:rPr>
        <w:t>’</w:t>
      </w:r>
      <w:r w:rsidRPr="00092931">
        <w:rPr>
          <w:rFonts w:eastAsia="Times New Roman"/>
          <w:szCs w:val="20"/>
          <w:lang w:val="fr-FR" w:eastAsia="fr-FR"/>
        </w:rPr>
        <w:t>espèce</w:t>
      </w:r>
      <w:r>
        <w:rPr>
          <w:rFonts w:eastAsia="Times New Roman"/>
          <w:szCs w:val="20"/>
          <w:lang w:val="fr-FR" w:eastAsia="fr-FR"/>
        </w:rPr>
        <w:t>,</w:t>
      </w:r>
      <w:r w:rsidRPr="00092931">
        <w:rPr>
          <w:rFonts w:eastAsia="Times New Roman"/>
          <w:szCs w:val="20"/>
          <w:lang w:val="fr-FR" w:eastAsia="fr-FR"/>
        </w:rPr>
        <w:t xml:space="preserve"> </w:t>
      </w:r>
      <w:r>
        <w:rPr>
          <w:rFonts w:eastAsia="Times New Roman"/>
          <w:szCs w:val="20"/>
          <w:lang w:val="fr-FR" w:eastAsia="fr-FR"/>
        </w:rPr>
        <w:t>puis</w:t>
      </w:r>
      <w:r w:rsidRPr="00092931">
        <w:rPr>
          <w:rFonts w:eastAsia="Times New Roman"/>
          <w:szCs w:val="20"/>
          <w:lang w:val="fr-FR" w:eastAsia="fr-FR"/>
        </w:rPr>
        <w:t xml:space="preserve">que </w:t>
      </w:r>
      <w:r>
        <w:rPr>
          <w:rFonts w:eastAsia="Times New Roman"/>
          <w:szCs w:val="20"/>
          <w:lang w:val="fr-FR" w:eastAsia="fr-FR"/>
        </w:rPr>
        <w:t>le jugement</w:t>
      </w:r>
      <w:r w:rsidRPr="00092931">
        <w:rPr>
          <w:rFonts w:eastAsia="Times New Roman"/>
          <w:szCs w:val="20"/>
          <w:lang w:val="fr-FR" w:eastAsia="fr-FR"/>
        </w:rPr>
        <w:t xml:space="preserve"> était </w:t>
      </w:r>
      <w:r>
        <w:rPr>
          <w:rFonts w:eastAsia="Times New Roman"/>
          <w:szCs w:val="20"/>
          <w:lang w:val="fr-FR" w:eastAsia="fr-FR"/>
        </w:rPr>
        <w:t xml:space="preserve">ainsi </w:t>
      </w:r>
      <w:r w:rsidRPr="00092931">
        <w:rPr>
          <w:rFonts w:eastAsia="Times New Roman"/>
          <w:szCs w:val="20"/>
          <w:lang w:val="fr-FR" w:eastAsia="fr-FR"/>
        </w:rPr>
        <w:t>devenu définitif avant son entrée en vigueur.</w:t>
      </w:r>
    </w:p>
    <w:p w:rsidR="00CF7619" w:rsidRDefault="00CF7619" w:rsidP="00092931">
      <w:pPr>
        <w:suppressAutoHyphens/>
        <w:ind w:firstLine="284"/>
        <w:rPr>
          <w:rFonts w:eastAsia="Times New Roman"/>
          <w:szCs w:val="20"/>
          <w:lang w:val="fr-FR" w:eastAsia="fr-FR"/>
        </w:rPr>
      </w:pPr>
      <w:r>
        <w:rPr>
          <w:rFonts w:eastAsia="Times New Roman"/>
          <w:szCs w:val="20"/>
          <w:lang w:val="fr-FR" w:eastAsia="fr-FR"/>
        </w:rPr>
        <w:fldChar w:fldCharType="begin"/>
      </w:r>
      <w:r>
        <w:rPr>
          <w:rFonts w:eastAsia="Times New Roman"/>
          <w:szCs w:val="20"/>
          <w:lang w:val="fr-FR" w:eastAsia="fr-FR"/>
        </w:rPr>
        <w:instrText xml:space="preserve"> SEQ level0 \*arabic </w:instrText>
      </w:r>
      <w:r>
        <w:rPr>
          <w:rFonts w:eastAsia="Times New Roman"/>
          <w:szCs w:val="20"/>
          <w:lang w:val="fr-FR" w:eastAsia="fr-FR"/>
        </w:rPr>
        <w:fldChar w:fldCharType="separate"/>
      </w:r>
      <w:r>
        <w:rPr>
          <w:rFonts w:eastAsia="Times New Roman"/>
          <w:noProof/>
          <w:szCs w:val="20"/>
          <w:lang w:val="fr-FR" w:eastAsia="fr-FR"/>
        </w:rPr>
        <w:t>13</w:t>
      </w:r>
      <w:r>
        <w:rPr>
          <w:rFonts w:eastAsia="Times New Roman"/>
          <w:szCs w:val="20"/>
          <w:lang w:val="fr-FR" w:eastAsia="fr-FR"/>
        </w:rPr>
        <w:fldChar w:fldCharType="end"/>
      </w:r>
      <w:r>
        <w:rPr>
          <w:rFonts w:eastAsia="Times New Roman"/>
          <w:szCs w:val="20"/>
          <w:lang w:val="fr-FR" w:eastAsia="fr-FR"/>
        </w:rPr>
        <w:t>.  </w:t>
      </w:r>
      <w:r w:rsidRPr="00092931">
        <w:rPr>
          <w:rFonts w:eastAsia="Times New Roman"/>
          <w:szCs w:val="20"/>
          <w:lang w:val="fr-FR" w:eastAsia="fr-FR"/>
        </w:rPr>
        <w:t>L</w:t>
      </w:r>
      <w:r>
        <w:rPr>
          <w:rFonts w:eastAsia="Times New Roman"/>
          <w:szCs w:val="20"/>
          <w:lang w:val="fr-FR" w:eastAsia="fr-FR"/>
        </w:rPr>
        <w:t>’</w:t>
      </w:r>
      <w:r w:rsidRPr="00092931">
        <w:rPr>
          <w:rFonts w:eastAsia="Times New Roman"/>
          <w:szCs w:val="20"/>
          <w:lang w:val="fr-FR" w:eastAsia="fr-FR"/>
        </w:rPr>
        <w:t>administration interjeta appel.</w:t>
      </w:r>
    </w:p>
    <w:p w:rsidR="00CF7619" w:rsidRDefault="00CF7619" w:rsidP="00092931">
      <w:pPr>
        <w:suppressAutoHyphens/>
        <w:ind w:firstLine="284"/>
        <w:rPr>
          <w:rFonts w:eastAsia="Times New Roman"/>
          <w:szCs w:val="20"/>
          <w:lang w:val="fr-FR" w:eastAsia="fr-FR"/>
        </w:rPr>
      </w:pPr>
      <w:r w:rsidRPr="00092931">
        <w:rPr>
          <w:rFonts w:eastAsia="Times New Roman"/>
          <w:szCs w:val="20"/>
          <w:lang w:val="fr-FR" w:eastAsia="fr-FR"/>
        </w:rPr>
        <w:t>Par un arrêt du 6 mai 2008, déposé au greffe le 16 juin 2008, le Conseil d</w:t>
      </w:r>
      <w:r>
        <w:rPr>
          <w:rFonts w:eastAsia="Times New Roman"/>
          <w:szCs w:val="20"/>
          <w:lang w:val="fr-FR" w:eastAsia="fr-FR"/>
        </w:rPr>
        <w:t>’</w:t>
      </w:r>
      <w:r w:rsidRPr="00092931">
        <w:rPr>
          <w:rFonts w:eastAsia="Times New Roman"/>
          <w:szCs w:val="20"/>
          <w:lang w:val="fr-FR" w:eastAsia="fr-FR"/>
        </w:rPr>
        <w:t xml:space="preserve">État accueillit </w:t>
      </w:r>
      <w:r>
        <w:rPr>
          <w:rFonts w:eastAsia="Times New Roman"/>
          <w:szCs w:val="20"/>
          <w:lang w:val="fr-FR" w:eastAsia="fr-FR"/>
        </w:rPr>
        <w:t>l’appel</w:t>
      </w:r>
      <w:r w:rsidRPr="00092931">
        <w:rPr>
          <w:rFonts w:eastAsia="Times New Roman"/>
          <w:szCs w:val="20"/>
          <w:lang w:val="fr-FR" w:eastAsia="fr-FR"/>
        </w:rPr>
        <w:t xml:space="preserve"> et </w:t>
      </w:r>
      <w:r>
        <w:rPr>
          <w:rFonts w:eastAsia="Times New Roman"/>
          <w:szCs w:val="20"/>
          <w:lang w:val="fr-FR" w:eastAsia="fr-FR"/>
        </w:rPr>
        <w:t>jugea légale</w:t>
      </w:r>
      <w:r w:rsidRPr="00092931">
        <w:rPr>
          <w:rFonts w:eastAsia="Times New Roman"/>
          <w:szCs w:val="20"/>
          <w:lang w:val="fr-FR" w:eastAsia="fr-FR"/>
        </w:rPr>
        <w:t xml:space="preserve"> la non-exécution de l</w:t>
      </w:r>
      <w:r>
        <w:rPr>
          <w:rFonts w:eastAsia="Times New Roman"/>
          <w:szCs w:val="20"/>
          <w:lang w:val="fr-FR" w:eastAsia="fr-FR"/>
        </w:rPr>
        <w:t>’</w:t>
      </w:r>
      <w:r w:rsidRPr="00092931">
        <w:rPr>
          <w:rFonts w:eastAsia="Times New Roman"/>
          <w:szCs w:val="20"/>
          <w:lang w:val="fr-FR" w:eastAsia="fr-FR"/>
        </w:rPr>
        <w:t xml:space="preserve">arrêt du TAR. </w:t>
      </w:r>
      <w:r>
        <w:rPr>
          <w:rFonts w:eastAsia="Times New Roman"/>
          <w:szCs w:val="20"/>
          <w:lang w:val="fr-FR" w:eastAsia="fr-FR"/>
        </w:rPr>
        <w:t>Pour statuer en ce sens, la haute juridiction considéra :</w:t>
      </w:r>
    </w:p>
    <w:p w:rsidR="00CF7619" w:rsidRDefault="00CF7619" w:rsidP="00092931">
      <w:pPr>
        <w:suppressAutoHyphens/>
        <w:ind w:firstLine="284"/>
        <w:rPr>
          <w:rFonts w:eastAsia="Times New Roman"/>
          <w:szCs w:val="20"/>
          <w:lang w:val="fr-FR" w:eastAsia="fr-FR"/>
        </w:rPr>
      </w:pPr>
      <w:r>
        <w:rPr>
          <w:rFonts w:eastAsia="Times New Roman"/>
          <w:szCs w:val="20"/>
          <w:lang w:val="fr-FR" w:eastAsia="fr-FR"/>
        </w:rPr>
        <w:t>– qu’en vertu</w:t>
      </w:r>
      <w:r w:rsidRPr="00092931">
        <w:rPr>
          <w:rFonts w:eastAsia="Times New Roman"/>
          <w:szCs w:val="20"/>
          <w:lang w:val="fr-FR" w:eastAsia="fr-FR"/>
        </w:rPr>
        <w:t xml:space="preserve"> de l</w:t>
      </w:r>
      <w:r>
        <w:rPr>
          <w:rFonts w:eastAsia="Times New Roman"/>
          <w:szCs w:val="20"/>
          <w:lang w:val="fr-FR" w:eastAsia="fr-FR"/>
        </w:rPr>
        <w:t>’</w:t>
      </w:r>
      <w:r w:rsidRPr="00092931">
        <w:rPr>
          <w:rFonts w:eastAsia="Times New Roman"/>
          <w:szCs w:val="20"/>
          <w:lang w:val="fr-FR" w:eastAsia="fr-FR"/>
        </w:rPr>
        <w:t xml:space="preserve">article 324 du code de procédure civile, </w:t>
      </w:r>
      <w:r>
        <w:rPr>
          <w:rFonts w:eastAsia="Times New Roman"/>
          <w:szCs w:val="20"/>
          <w:lang w:val="fr-FR" w:eastAsia="fr-FR"/>
        </w:rPr>
        <w:t>le jugement du TAR</w:t>
      </w:r>
      <w:r w:rsidRPr="00092931">
        <w:rPr>
          <w:rFonts w:eastAsia="Times New Roman"/>
          <w:szCs w:val="20"/>
          <w:lang w:val="fr-FR" w:eastAsia="fr-FR"/>
        </w:rPr>
        <w:t xml:space="preserve"> </w:t>
      </w:r>
      <w:r>
        <w:rPr>
          <w:rFonts w:eastAsia="Times New Roman"/>
          <w:szCs w:val="20"/>
          <w:lang w:val="fr-FR" w:eastAsia="fr-FR"/>
        </w:rPr>
        <w:t>n’</w:t>
      </w:r>
      <w:r w:rsidRPr="00092931">
        <w:rPr>
          <w:rFonts w:eastAsia="Times New Roman"/>
          <w:szCs w:val="20"/>
          <w:lang w:val="fr-FR" w:eastAsia="fr-FR"/>
        </w:rPr>
        <w:t>a</w:t>
      </w:r>
      <w:r>
        <w:rPr>
          <w:rFonts w:eastAsia="Times New Roman"/>
          <w:szCs w:val="20"/>
          <w:lang w:val="fr-FR" w:eastAsia="fr-FR"/>
        </w:rPr>
        <w:t>v</w:t>
      </w:r>
      <w:r w:rsidRPr="00092931">
        <w:rPr>
          <w:rFonts w:eastAsia="Times New Roman"/>
          <w:szCs w:val="20"/>
          <w:lang w:val="fr-FR" w:eastAsia="fr-FR"/>
        </w:rPr>
        <w:t xml:space="preserve">ait acquis </w:t>
      </w:r>
      <w:r>
        <w:rPr>
          <w:rFonts w:eastAsia="Times New Roman"/>
          <w:szCs w:val="20"/>
          <w:lang w:val="fr-FR" w:eastAsia="fr-FR"/>
        </w:rPr>
        <w:t>la force de la chose</w:t>
      </w:r>
      <w:r w:rsidRPr="00092931">
        <w:rPr>
          <w:rFonts w:eastAsia="Times New Roman"/>
          <w:szCs w:val="20"/>
          <w:lang w:val="fr-FR" w:eastAsia="fr-FR"/>
        </w:rPr>
        <w:t xml:space="preserve"> jugée </w:t>
      </w:r>
      <w:r>
        <w:rPr>
          <w:rFonts w:eastAsia="Times New Roman"/>
          <w:szCs w:val="20"/>
          <w:lang w:val="fr-FR" w:eastAsia="fr-FR"/>
        </w:rPr>
        <w:t>qu’à l’expiration des</w:t>
      </w:r>
      <w:r w:rsidRPr="00092931">
        <w:rPr>
          <w:rFonts w:eastAsia="Times New Roman"/>
          <w:szCs w:val="20"/>
          <w:lang w:val="fr-FR" w:eastAsia="fr-FR"/>
        </w:rPr>
        <w:t xml:space="preserve"> délais </w:t>
      </w:r>
      <w:r>
        <w:rPr>
          <w:rFonts w:eastAsia="Times New Roman"/>
          <w:szCs w:val="20"/>
          <w:lang w:val="fr-FR" w:eastAsia="fr-FR"/>
        </w:rPr>
        <w:t xml:space="preserve">qui étaient ouverts à l’administration </w:t>
      </w:r>
      <w:r w:rsidRPr="00092931">
        <w:rPr>
          <w:rFonts w:eastAsia="Times New Roman"/>
          <w:szCs w:val="20"/>
          <w:lang w:val="fr-FR" w:eastAsia="fr-FR"/>
        </w:rPr>
        <w:t xml:space="preserve">pour se pourvoir en cassation contre </w:t>
      </w:r>
      <w:r>
        <w:rPr>
          <w:rFonts w:eastAsia="Times New Roman"/>
          <w:szCs w:val="20"/>
          <w:lang w:val="fr-FR" w:eastAsia="fr-FR"/>
        </w:rPr>
        <w:t xml:space="preserve">l’arrêt rendu par le </w:t>
      </w:r>
      <w:r w:rsidRPr="00092931">
        <w:rPr>
          <w:rFonts w:eastAsia="Times New Roman"/>
          <w:szCs w:val="20"/>
          <w:lang w:val="fr-FR" w:eastAsia="fr-FR"/>
        </w:rPr>
        <w:t>Conseil d</w:t>
      </w:r>
      <w:r>
        <w:rPr>
          <w:rFonts w:eastAsia="Times New Roman"/>
          <w:szCs w:val="20"/>
          <w:lang w:val="fr-FR" w:eastAsia="fr-FR"/>
        </w:rPr>
        <w:t>’</w:t>
      </w:r>
      <w:r w:rsidRPr="00092931">
        <w:rPr>
          <w:rFonts w:eastAsia="Times New Roman"/>
          <w:szCs w:val="20"/>
          <w:lang w:val="fr-FR" w:eastAsia="fr-FR"/>
        </w:rPr>
        <w:t xml:space="preserve">État </w:t>
      </w:r>
      <w:r>
        <w:rPr>
          <w:rFonts w:eastAsia="Times New Roman"/>
          <w:szCs w:val="20"/>
          <w:lang w:val="fr-FR" w:eastAsia="fr-FR"/>
        </w:rPr>
        <w:t xml:space="preserve">en appel </w:t>
      </w:r>
      <w:r w:rsidRPr="00092931">
        <w:rPr>
          <w:rFonts w:eastAsia="Times New Roman"/>
          <w:szCs w:val="20"/>
          <w:lang w:val="fr-FR" w:eastAsia="fr-FR"/>
        </w:rPr>
        <w:t xml:space="preserve">ou pour </w:t>
      </w:r>
      <w:r>
        <w:rPr>
          <w:rFonts w:eastAsia="Times New Roman"/>
          <w:szCs w:val="20"/>
          <w:lang w:val="fr-FR" w:eastAsia="fr-FR"/>
        </w:rPr>
        <w:t xml:space="preserve">en </w:t>
      </w:r>
      <w:r w:rsidRPr="00092931">
        <w:rPr>
          <w:rFonts w:eastAsia="Times New Roman"/>
          <w:szCs w:val="20"/>
          <w:lang w:val="fr-FR" w:eastAsia="fr-FR"/>
        </w:rPr>
        <w:t>demander la révocation</w:t>
      </w:r>
      <w:r>
        <w:rPr>
          <w:rFonts w:eastAsia="Times New Roman"/>
          <w:szCs w:val="20"/>
          <w:lang w:val="fr-FR" w:eastAsia="fr-FR"/>
        </w:rPr>
        <w:t> ;</w:t>
      </w:r>
    </w:p>
    <w:p w:rsidR="00CF7619" w:rsidRDefault="00CF7619" w:rsidP="00092931">
      <w:pPr>
        <w:suppressAutoHyphens/>
        <w:ind w:firstLine="284"/>
        <w:rPr>
          <w:rFonts w:eastAsia="Times New Roman"/>
          <w:szCs w:val="20"/>
          <w:lang w:val="fr-FR" w:eastAsia="fr-FR"/>
        </w:rPr>
      </w:pPr>
      <w:r>
        <w:rPr>
          <w:rFonts w:eastAsia="Times New Roman"/>
          <w:szCs w:val="20"/>
          <w:lang w:val="fr-FR" w:eastAsia="fr-FR"/>
        </w:rPr>
        <w:t>– qu’e</w:t>
      </w:r>
      <w:r w:rsidRPr="00092931">
        <w:rPr>
          <w:rFonts w:eastAsia="Times New Roman"/>
          <w:szCs w:val="20"/>
          <w:lang w:val="fr-FR" w:eastAsia="fr-FR"/>
        </w:rPr>
        <w:t>n tou</w:t>
      </w:r>
      <w:r>
        <w:rPr>
          <w:rFonts w:eastAsia="Times New Roman"/>
          <w:szCs w:val="20"/>
          <w:lang w:val="fr-FR" w:eastAsia="fr-FR"/>
        </w:rPr>
        <w:t>t</w:t>
      </w:r>
      <w:r w:rsidRPr="00092931">
        <w:rPr>
          <w:rFonts w:eastAsia="Times New Roman"/>
          <w:szCs w:val="20"/>
          <w:lang w:val="fr-FR" w:eastAsia="fr-FR"/>
        </w:rPr>
        <w:t xml:space="preserve"> cas, </w:t>
      </w:r>
      <w:r>
        <w:rPr>
          <w:rFonts w:eastAsia="Times New Roman"/>
          <w:szCs w:val="20"/>
          <w:lang w:val="fr-FR" w:eastAsia="fr-FR"/>
        </w:rPr>
        <w:t>le jugement</w:t>
      </w:r>
      <w:r w:rsidRPr="00092931">
        <w:rPr>
          <w:rFonts w:eastAsia="Times New Roman"/>
          <w:szCs w:val="20"/>
          <w:lang w:val="fr-FR" w:eastAsia="fr-FR"/>
        </w:rPr>
        <w:t xml:space="preserve"> </w:t>
      </w:r>
      <w:r>
        <w:rPr>
          <w:rFonts w:eastAsia="Times New Roman"/>
          <w:szCs w:val="20"/>
          <w:lang w:val="fr-FR" w:eastAsia="fr-FR"/>
        </w:rPr>
        <w:t>n’était</w:t>
      </w:r>
      <w:r w:rsidRPr="00092931">
        <w:rPr>
          <w:rFonts w:eastAsia="Times New Roman"/>
          <w:szCs w:val="20"/>
          <w:lang w:val="fr-FR" w:eastAsia="fr-FR"/>
        </w:rPr>
        <w:t xml:space="preserve"> </w:t>
      </w:r>
      <w:r>
        <w:rPr>
          <w:rFonts w:eastAsia="Times New Roman"/>
          <w:szCs w:val="20"/>
          <w:lang w:val="fr-FR" w:eastAsia="fr-FR"/>
        </w:rPr>
        <w:t>pas encore</w:t>
      </w:r>
      <w:r w:rsidRPr="00092931">
        <w:rPr>
          <w:rFonts w:eastAsia="Times New Roman"/>
          <w:szCs w:val="20"/>
          <w:lang w:val="fr-FR" w:eastAsia="fr-FR"/>
        </w:rPr>
        <w:t xml:space="preserve"> définitif </w:t>
      </w:r>
      <w:r>
        <w:rPr>
          <w:rFonts w:eastAsia="Times New Roman"/>
          <w:szCs w:val="20"/>
          <w:lang w:val="fr-FR" w:eastAsia="fr-FR"/>
        </w:rPr>
        <w:t xml:space="preserve">au moment de </w:t>
      </w:r>
      <w:r w:rsidRPr="00092931">
        <w:rPr>
          <w:rFonts w:eastAsia="Times New Roman"/>
          <w:szCs w:val="20"/>
          <w:lang w:val="fr-FR" w:eastAsia="fr-FR"/>
        </w:rPr>
        <w:t>l</w:t>
      </w:r>
      <w:r>
        <w:rPr>
          <w:rFonts w:eastAsia="Times New Roman"/>
          <w:szCs w:val="20"/>
          <w:lang w:val="fr-FR" w:eastAsia="fr-FR"/>
        </w:rPr>
        <w:t>’</w:t>
      </w:r>
      <w:r w:rsidRPr="00092931">
        <w:rPr>
          <w:rFonts w:eastAsia="Times New Roman"/>
          <w:szCs w:val="20"/>
          <w:lang w:val="fr-FR" w:eastAsia="fr-FR"/>
        </w:rPr>
        <w:t>entrée en vigueur de la loi n</w:t>
      </w:r>
      <w:r w:rsidRPr="00092931">
        <w:rPr>
          <w:rFonts w:eastAsia="Times New Roman"/>
          <w:szCs w:val="20"/>
          <w:vertAlign w:val="superscript"/>
          <w:lang w:val="fr-FR" w:eastAsia="fr-FR"/>
        </w:rPr>
        <w:t>o</w:t>
      </w:r>
      <w:r w:rsidRPr="00092931">
        <w:rPr>
          <w:rFonts w:eastAsia="Times New Roman"/>
          <w:szCs w:val="20"/>
          <w:lang w:val="fr-FR" w:eastAsia="fr-FR"/>
        </w:rPr>
        <w:t xml:space="preserve"> 388/2000</w:t>
      </w:r>
      <w:r>
        <w:rPr>
          <w:rFonts w:eastAsia="Times New Roman"/>
          <w:szCs w:val="20"/>
          <w:lang w:val="fr-FR" w:eastAsia="fr-FR"/>
        </w:rPr>
        <w:t> ;</w:t>
      </w:r>
    </w:p>
    <w:p w:rsidR="00CF7619" w:rsidRPr="00092931" w:rsidRDefault="00CF7619" w:rsidP="00092931">
      <w:pPr>
        <w:suppressAutoHyphens/>
        <w:ind w:firstLine="284"/>
        <w:rPr>
          <w:rFonts w:eastAsia="Times New Roman"/>
          <w:szCs w:val="20"/>
          <w:lang w:val="fr-FR" w:eastAsia="fr-FR"/>
        </w:rPr>
      </w:pPr>
      <w:r>
        <w:rPr>
          <w:rFonts w:eastAsia="Times New Roman"/>
          <w:szCs w:val="20"/>
          <w:lang w:val="fr-FR" w:eastAsia="fr-FR"/>
        </w:rPr>
        <w:t xml:space="preserve">– </w:t>
      </w:r>
      <w:r w:rsidRPr="00092931">
        <w:rPr>
          <w:rFonts w:eastAsia="Times New Roman"/>
          <w:szCs w:val="20"/>
          <w:lang w:val="fr-FR" w:eastAsia="fr-FR"/>
        </w:rPr>
        <w:t>et</w:t>
      </w:r>
      <w:r>
        <w:rPr>
          <w:rFonts w:eastAsia="Times New Roman"/>
          <w:szCs w:val="20"/>
          <w:lang w:val="fr-FR" w:eastAsia="fr-FR"/>
        </w:rPr>
        <w:t xml:space="preserve"> que</w:t>
      </w:r>
      <w:r w:rsidRPr="00092931">
        <w:rPr>
          <w:rFonts w:eastAsia="Times New Roman"/>
          <w:szCs w:val="20"/>
          <w:lang w:val="fr-FR" w:eastAsia="fr-FR"/>
        </w:rPr>
        <w:t xml:space="preserve">, par conséquent, </w:t>
      </w:r>
      <w:r>
        <w:rPr>
          <w:rFonts w:eastAsia="Times New Roman"/>
          <w:szCs w:val="20"/>
          <w:lang w:val="fr-FR" w:eastAsia="fr-FR"/>
        </w:rPr>
        <w:t>l’</w:t>
      </w:r>
      <w:r w:rsidRPr="00092931">
        <w:rPr>
          <w:rFonts w:eastAsia="Times New Roman"/>
          <w:szCs w:val="20"/>
          <w:lang w:val="fr-FR" w:eastAsia="fr-FR"/>
        </w:rPr>
        <w:t>article 50</w:t>
      </w:r>
      <w:r>
        <w:rPr>
          <w:rFonts w:eastAsia="Times New Roman"/>
          <w:szCs w:val="20"/>
          <w:lang w:val="fr-FR" w:eastAsia="fr-FR"/>
        </w:rPr>
        <w:t xml:space="preserve"> de celle-ci</w:t>
      </w:r>
      <w:r w:rsidRPr="00092931">
        <w:rPr>
          <w:rFonts w:eastAsia="Times New Roman"/>
          <w:szCs w:val="20"/>
          <w:lang w:val="fr-FR" w:eastAsia="fr-FR"/>
        </w:rPr>
        <w:t xml:space="preserve"> trouvait à s</w:t>
      </w:r>
      <w:r>
        <w:rPr>
          <w:rFonts w:eastAsia="Times New Roman"/>
          <w:szCs w:val="20"/>
          <w:lang w:val="fr-FR" w:eastAsia="fr-FR"/>
        </w:rPr>
        <w:t>’</w:t>
      </w:r>
      <w:r w:rsidRPr="00092931">
        <w:rPr>
          <w:rFonts w:eastAsia="Times New Roman"/>
          <w:szCs w:val="20"/>
          <w:lang w:val="fr-FR" w:eastAsia="fr-FR"/>
        </w:rPr>
        <w:t>appliquer.</w:t>
      </w:r>
    </w:p>
    <w:p w:rsidR="00CF7619" w:rsidRPr="00092931" w:rsidRDefault="00CF7619" w:rsidP="00092931">
      <w:pPr>
        <w:suppressAutoHyphens/>
        <w:ind w:right="-13" w:firstLine="284"/>
        <w:rPr>
          <w:rFonts w:eastAsia="Times New Roman"/>
          <w:szCs w:val="20"/>
          <w:lang w:val="fr-FR" w:eastAsia="fr-FR"/>
        </w:rPr>
      </w:pPr>
    </w:p>
    <w:p w:rsidR="00CF7619" w:rsidRPr="00685582" w:rsidRDefault="00CF7619" w:rsidP="007C23AD">
      <w:pPr>
        <w:pStyle w:val="ECHRHeading1"/>
      </w:pPr>
      <w:r>
        <w:t>II.  LE DROIT INTERNE PERTINENT</w:t>
      </w:r>
    </w:p>
    <w:p w:rsidR="00CF7619" w:rsidRPr="00092931" w:rsidRDefault="00CF7619" w:rsidP="007C23AD">
      <w:pPr>
        <w:keepNext/>
        <w:keepLines/>
        <w:suppressAutoHyphens/>
        <w:ind w:firstLine="284"/>
        <w:rPr>
          <w:rFonts w:eastAsia="Times New Roman"/>
          <w:szCs w:val="20"/>
          <w:lang w:val="fr-FR" w:eastAsia="en-GB"/>
        </w:rPr>
      </w:pPr>
      <w:r>
        <w:rPr>
          <w:rFonts w:eastAsia="Times New Roman"/>
          <w:szCs w:val="20"/>
          <w:lang w:val="fr-FR" w:eastAsia="en-GB"/>
        </w:rPr>
        <w:fldChar w:fldCharType="begin"/>
      </w:r>
      <w:r>
        <w:rPr>
          <w:rFonts w:eastAsia="Times New Roman"/>
          <w:szCs w:val="20"/>
          <w:lang w:val="fr-FR" w:eastAsia="en-GB"/>
        </w:rPr>
        <w:instrText xml:space="preserve"> SEQ level0 \*arabic </w:instrText>
      </w:r>
      <w:r>
        <w:rPr>
          <w:rFonts w:eastAsia="Times New Roman"/>
          <w:szCs w:val="20"/>
          <w:lang w:val="fr-FR" w:eastAsia="en-GB"/>
        </w:rPr>
        <w:fldChar w:fldCharType="separate"/>
      </w:r>
      <w:r>
        <w:rPr>
          <w:rFonts w:eastAsia="Times New Roman"/>
          <w:noProof/>
          <w:szCs w:val="20"/>
          <w:lang w:val="fr-FR" w:eastAsia="en-GB"/>
        </w:rPr>
        <w:t>14</w:t>
      </w:r>
      <w:r>
        <w:rPr>
          <w:rFonts w:eastAsia="Times New Roman"/>
          <w:szCs w:val="20"/>
          <w:lang w:val="fr-FR" w:eastAsia="en-GB"/>
        </w:rPr>
        <w:fldChar w:fldCharType="end"/>
      </w:r>
      <w:r>
        <w:rPr>
          <w:rFonts w:eastAsia="Times New Roman"/>
          <w:szCs w:val="20"/>
          <w:lang w:val="fr-FR" w:eastAsia="en-GB"/>
        </w:rPr>
        <w:t>.  </w:t>
      </w:r>
      <w:r w:rsidRPr="00092931">
        <w:rPr>
          <w:rFonts w:eastAsia="Times New Roman"/>
          <w:szCs w:val="20"/>
          <w:lang w:val="fr-FR" w:eastAsia="en-GB"/>
        </w:rPr>
        <w:t>L</w:t>
      </w:r>
      <w:r>
        <w:rPr>
          <w:rFonts w:eastAsia="Times New Roman"/>
          <w:szCs w:val="20"/>
          <w:lang w:val="fr-FR" w:eastAsia="en-GB"/>
        </w:rPr>
        <w:t>’</w:t>
      </w:r>
      <w:r w:rsidRPr="00092931">
        <w:rPr>
          <w:rFonts w:eastAsia="Times New Roman"/>
          <w:szCs w:val="20"/>
          <w:lang w:val="fr-FR" w:eastAsia="en-GB"/>
        </w:rPr>
        <w:t>article 50 de la loi n</w:t>
      </w:r>
      <w:r w:rsidRPr="00092931">
        <w:rPr>
          <w:rFonts w:eastAsia="Times New Roman"/>
          <w:szCs w:val="20"/>
          <w:vertAlign w:val="superscript"/>
          <w:lang w:val="fr-FR" w:eastAsia="en-GB"/>
        </w:rPr>
        <w:t>o</w:t>
      </w:r>
      <w:r w:rsidRPr="00092931">
        <w:rPr>
          <w:rFonts w:eastAsia="Times New Roman"/>
          <w:szCs w:val="20"/>
          <w:lang w:val="fr-FR" w:eastAsia="en-GB"/>
        </w:rPr>
        <w:t xml:space="preserve"> 388 du 23 décembre 2000 se lit comme suit :</w:t>
      </w:r>
    </w:p>
    <w:p w:rsidR="00CF7619" w:rsidRPr="00092931" w:rsidRDefault="00CF7619" w:rsidP="007C23AD">
      <w:pPr>
        <w:pStyle w:val="ECHRParaQuote"/>
        <w:keepNext/>
        <w:keepLines/>
        <w:rPr>
          <w:rFonts w:eastAsia="Times New Roman"/>
        </w:rPr>
      </w:pPr>
      <w:r w:rsidRPr="00092931" w:rsidDel="00EE4F6F">
        <w:rPr>
          <w:rFonts w:eastAsia="Times New Roman"/>
        </w:rPr>
        <w:t xml:space="preserve"> </w:t>
      </w:r>
      <w:r w:rsidRPr="00092931">
        <w:rPr>
          <w:rFonts w:eastAsia="Times New Roman"/>
        </w:rPr>
        <w:t>« L</w:t>
      </w:r>
      <w:r>
        <w:rPr>
          <w:rFonts w:eastAsia="Times New Roman"/>
        </w:rPr>
        <w:t>’</w:t>
      </w:r>
      <w:r w:rsidRPr="00092931">
        <w:rPr>
          <w:rFonts w:eastAsia="Times New Roman"/>
        </w:rPr>
        <w:t>alinéa 9 de l</w:t>
      </w:r>
      <w:r>
        <w:rPr>
          <w:rFonts w:eastAsia="Times New Roman"/>
        </w:rPr>
        <w:t>’</w:t>
      </w:r>
      <w:r w:rsidRPr="00092931">
        <w:rPr>
          <w:rFonts w:eastAsia="Times New Roman"/>
        </w:rPr>
        <w:t>article 4 de la loi du 6 août 1984 n</w:t>
      </w:r>
      <w:r w:rsidRPr="00092931">
        <w:rPr>
          <w:rFonts w:eastAsia="Times New Roman"/>
          <w:vertAlign w:val="superscript"/>
        </w:rPr>
        <w:t>o</w:t>
      </w:r>
      <w:r w:rsidRPr="00092931">
        <w:rPr>
          <w:rFonts w:eastAsia="Times New Roman"/>
        </w:rPr>
        <w:t xml:space="preserve"> 425 est abrogé à compter de l</w:t>
      </w:r>
      <w:r>
        <w:rPr>
          <w:rFonts w:eastAsia="Times New Roman"/>
        </w:rPr>
        <w:t>’</w:t>
      </w:r>
      <w:r w:rsidRPr="00092931">
        <w:rPr>
          <w:rFonts w:eastAsia="Times New Roman"/>
        </w:rPr>
        <w:t>entrée en vigueur du décret-loi du 1992 n</w:t>
      </w:r>
      <w:r w:rsidRPr="00092931">
        <w:rPr>
          <w:rFonts w:eastAsia="Times New Roman"/>
          <w:vertAlign w:val="superscript"/>
        </w:rPr>
        <w:t>o</w:t>
      </w:r>
      <w:r w:rsidRPr="00092931">
        <w:rPr>
          <w:rFonts w:eastAsia="Times New Roman"/>
        </w:rPr>
        <w:t xml:space="preserve"> 333, converti avec modifications en la loi n</w:t>
      </w:r>
      <w:r w:rsidRPr="00092931">
        <w:rPr>
          <w:rFonts w:eastAsia="Times New Roman"/>
          <w:vertAlign w:val="superscript"/>
        </w:rPr>
        <w:t>o</w:t>
      </w:r>
      <w:r w:rsidRPr="00092931">
        <w:rPr>
          <w:rFonts w:eastAsia="Times New Roman"/>
        </w:rPr>
        <w:t xml:space="preserve"> 359 de 1992 ; les mesures et décisions </w:t>
      </w:r>
      <w:r>
        <w:rPr>
          <w:rFonts w:eastAsia="Times New Roman"/>
        </w:rPr>
        <w:t>adoptées par les</w:t>
      </w:r>
      <w:r w:rsidRPr="00092931">
        <w:rPr>
          <w:rFonts w:eastAsia="Times New Roman"/>
        </w:rPr>
        <w:t xml:space="preserve"> autorités judiciaires en s</w:t>
      </w:r>
      <w:r>
        <w:rPr>
          <w:rFonts w:eastAsia="Times New Roman"/>
        </w:rPr>
        <w:t>’</w:t>
      </w:r>
      <w:r w:rsidRPr="00092931">
        <w:rPr>
          <w:rFonts w:eastAsia="Times New Roman"/>
        </w:rPr>
        <w:t>écartant de l</w:t>
      </w:r>
      <w:r>
        <w:rPr>
          <w:rFonts w:eastAsia="Times New Roman"/>
        </w:rPr>
        <w:t>’</w:t>
      </w:r>
      <w:r w:rsidRPr="00092931">
        <w:rPr>
          <w:rFonts w:eastAsia="Times New Roman"/>
        </w:rPr>
        <w:t>interprétation donnée ci-dessus deviennent caduques à partir de la date susmentionnée.</w:t>
      </w:r>
    </w:p>
    <w:p w:rsidR="00CF7619" w:rsidRPr="00092931" w:rsidRDefault="00CF7619" w:rsidP="007C23AD">
      <w:pPr>
        <w:pStyle w:val="ECHRParaQuote"/>
        <w:keepNext/>
        <w:keepLines/>
        <w:rPr>
          <w:rFonts w:eastAsia="Times New Roman"/>
        </w:rPr>
      </w:pPr>
      <w:r w:rsidRPr="00092931">
        <w:rPr>
          <w:rFonts w:eastAsia="Times New Roman"/>
        </w:rPr>
        <w:t xml:space="preserve">Les paiements </w:t>
      </w:r>
      <w:r>
        <w:rPr>
          <w:rFonts w:eastAsia="Times New Roman"/>
        </w:rPr>
        <w:t>afférents aux</w:t>
      </w:r>
      <w:r w:rsidRPr="00092931">
        <w:rPr>
          <w:rFonts w:eastAsia="Times New Roman"/>
        </w:rPr>
        <w:t>dites mesures ou décisions ne sont pas dus et ne peuvent pas être exécutés ».</w:t>
      </w:r>
    </w:p>
    <w:p w:rsidR="00CF7619" w:rsidRPr="00685582" w:rsidRDefault="00CF7619" w:rsidP="007C23AD">
      <w:pPr>
        <w:pStyle w:val="ECHRTitle1"/>
      </w:pPr>
      <w:r w:rsidRPr="00685582">
        <w:t>EN DROIT</w:t>
      </w:r>
    </w:p>
    <w:p w:rsidR="00CF7619" w:rsidRPr="00685582" w:rsidRDefault="00CF7619" w:rsidP="007C23AD">
      <w:pPr>
        <w:pStyle w:val="ECHRHeading1"/>
      </w:pPr>
      <w:r w:rsidRPr="00685582">
        <w:t>I.  SUR LA VIOLATION ALLÉGUÉE DE L</w:t>
      </w:r>
      <w:r>
        <w:t>’</w:t>
      </w:r>
      <w:r w:rsidRPr="00685582">
        <w:t xml:space="preserve">ARTICLE </w:t>
      </w:r>
      <w:r>
        <w:t>6</w:t>
      </w:r>
      <w:r w:rsidRPr="00685582">
        <w:t xml:space="preserve"> DE LA CONVENTION</w:t>
      </w:r>
    </w:p>
    <w:p w:rsidR="00CF7619" w:rsidRPr="00A307C9" w:rsidRDefault="00CF7619" w:rsidP="007C23AD">
      <w:pPr>
        <w:pStyle w:val="ECHRPara"/>
        <w:keepNext/>
        <w:keepLines/>
      </w:pPr>
      <w:fldSimple w:instr=" SEQ level0 \*arabic ">
        <w:r>
          <w:rPr>
            <w:noProof/>
          </w:rPr>
          <w:t>15</w:t>
        </w:r>
      </w:fldSimple>
      <w:r w:rsidRPr="00685582">
        <w:t xml:space="preserve">.  Les requérants allèguent </w:t>
      </w:r>
      <w:r>
        <w:t>que l’entrée en vigueur de la loi n</w:t>
      </w:r>
      <w:r w:rsidRPr="006D6FF8">
        <w:rPr>
          <w:vertAlign w:val="superscript"/>
        </w:rPr>
        <w:t>o</w:t>
      </w:r>
      <w:r>
        <w:t> 388 du 23 décembre 2000 aurait influencé la décision du Conseil d’État, et voient là une atteinte à la prééminence du droit et à l’équité de la procédure.</w:t>
      </w:r>
      <w:r w:rsidRPr="00685582">
        <w:t xml:space="preserve"> </w:t>
      </w:r>
      <w:r w:rsidRPr="00A307C9">
        <w:t>Ils dénoncent une violation de l</w:t>
      </w:r>
      <w:r>
        <w:t>’</w:t>
      </w:r>
      <w:r w:rsidRPr="00A307C9">
        <w:t>article 6 § 1 de la Convention, aux termes duquel :</w:t>
      </w:r>
    </w:p>
    <w:p w:rsidR="00CF7619" w:rsidRPr="00685582" w:rsidRDefault="00CF7619" w:rsidP="007C23AD">
      <w:pPr>
        <w:pStyle w:val="JuQuotSub"/>
        <w:keepNext/>
        <w:keepLines/>
      </w:pPr>
      <w:r w:rsidRPr="00A307C9">
        <w:t>« Toute personne a droit à ce que sa cause soit entendue équitablement (...) par un tribunal (...), qui décidera (...) des contestations sur ses droits et obligations de caractère civil (...) </w:t>
      </w:r>
      <w:r w:rsidRPr="004E2C3C">
        <w:t>»</w:t>
      </w:r>
    </w:p>
    <w:p w:rsidR="00CF7619" w:rsidRPr="00685582" w:rsidRDefault="00CF7619">
      <w:pPr>
        <w:pStyle w:val="ECHRPara"/>
      </w:pPr>
      <w:fldSimple w:instr=" SEQ level0 \*arabic ">
        <w:r>
          <w:rPr>
            <w:noProof/>
          </w:rPr>
          <w:t>16</w:t>
        </w:r>
      </w:fldSimple>
      <w:r w:rsidRPr="00685582">
        <w:t xml:space="preserve">.  Le Gouvernement </w:t>
      </w:r>
      <w:r>
        <w:t>combat</w:t>
      </w:r>
      <w:r w:rsidRPr="00685582">
        <w:t xml:space="preserve"> cette thèse.</w:t>
      </w:r>
    </w:p>
    <w:p w:rsidR="00CF7619" w:rsidRPr="00685582" w:rsidRDefault="00CF7619" w:rsidP="00B33C50">
      <w:pPr>
        <w:pStyle w:val="ECHRHeading2"/>
        <w:outlineLvl w:val="0"/>
      </w:pPr>
      <w:r w:rsidRPr="00685582">
        <w:t>A.  Sur la recevabilité</w:t>
      </w:r>
    </w:p>
    <w:p w:rsidR="00CF7619" w:rsidRPr="00685582" w:rsidRDefault="00CF7619" w:rsidP="007E34C8">
      <w:pPr>
        <w:pStyle w:val="ECHRPara"/>
      </w:pPr>
      <w:fldSimple w:instr=" SEQ level0 \*arabic ">
        <w:r>
          <w:rPr>
            <w:noProof/>
          </w:rPr>
          <w:t>17</w:t>
        </w:r>
      </w:fldSimple>
      <w:r w:rsidRPr="00685582">
        <w:t>.  La Cour constate que la requête</w:t>
      </w:r>
      <w:r w:rsidRPr="00685582">
        <w:rPr>
          <w:rStyle w:val="JuParaCar"/>
        </w:rPr>
        <w:t xml:space="preserve"> </w:t>
      </w:r>
      <w:r w:rsidRPr="00685582">
        <w:t>n</w:t>
      </w:r>
      <w:r>
        <w:t>’</w:t>
      </w:r>
      <w:r w:rsidRPr="00685582">
        <w:t>est pas manifestement mal fondée au sens de l</w:t>
      </w:r>
      <w:r>
        <w:t>’</w:t>
      </w:r>
      <w:r w:rsidRPr="00685582">
        <w:t xml:space="preserve">article 35 § 3 a) de la Convention. </w:t>
      </w:r>
      <w:r>
        <w:t>Elle</w:t>
      </w:r>
      <w:r w:rsidRPr="00685582">
        <w:t xml:space="preserve"> relève par ailleurs qu</w:t>
      </w:r>
      <w:r>
        <w:t>’</w:t>
      </w:r>
      <w:r w:rsidRPr="00685582">
        <w:t>elle ne se heurte à aucun autre motif d</w:t>
      </w:r>
      <w:r>
        <w:t>’</w:t>
      </w:r>
      <w:r w:rsidRPr="00685582">
        <w:t>irrecevabilité. Il convie</w:t>
      </w:r>
      <w:r>
        <w:t xml:space="preserve">nt donc de </w:t>
      </w:r>
      <w:r w:rsidRPr="00685582">
        <w:t>le déclarer recevable.</w:t>
      </w:r>
    </w:p>
    <w:p w:rsidR="00CF7619" w:rsidRDefault="00CF7619" w:rsidP="00B33C50">
      <w:pPr>
        <w:pStyle w:val="ECHRHeading2"/>
        <w:outlineLvl w:val="0"/>
      </w:pPr>
      <w:r w:rsidRPr="00685582">
        <w:t>B.  Sur le fond</w:t>
      </w:r>
    </w:p>
    <w:p w:rsidR="00CF7619" w:rsidRPr="00A307C9" w:rsidRDefault="00CF7619" w:rsidP="00A307C9">
      <w:pPr>
        <w:pStyle w:val="ECHRHeading3"/>
      </w:pPr>
      <w:r w:rsidRPr="00A307C9">
        <w:t>1.  Arguments des parties</w:t>
      </w:r>
    </w:p>
    <w:p w:rsidR="00CF7619" w:rsidRPr="00AA242A" w:rsidRDefault="00CF7619" w:rsidP="006D6FF8">
      <w:pPr>
        <w:pStyle w:val="ECHRPara"/>
      </w:pPr>
      <w:fldSimple w:instr=" SEQ level0 \*arabic ">
        <w:r>
          <w:rPr>
            <w:noProof/>
          </w:rPr>
          <w:t>18</w:t>
        </w:r>
      </w:fldSimple>
      <w:r w:rsidRPr="005C5FCE">
        <w:t xml:space="preserve">.  Les requérants </w:t>
      </w:r>
      <w:r>
        <w:t xml:space="preserve">exposent que le jugement du TAR de Salerne devait être considéré comme ayant acquis un caractère définitif </w:t>
      </w:r>
      <w:r w:rsidRPr="00AA242A">
        <w:t>avant l</w:t>
      </w:r>
      <w:r>
        <w:t>’</w:t>
      </w:r>
      <w:r w:rsidRPr="00AA242A">
        <w:t>entrée en vigueur de la</w:t>
      </w:r>
      <w:r>
        <w:t xml:space="preserve"> loi de finances n</w:t>
      </w:r>
      <w:r w:rsidRPr="00BC3E51">
        <w:rPr>
          <w:vertAlign w:val="superscript"/>
        </w:rPr>
        <w:t>o</w:t>
      </w:r>
      <w:r w:rsidRPr="00AA242A">
        <w:t xml:space="preserve"> </w:t>
      </w:r>
      <w:r>
        <w:rPr>
          <w:bCs/>
        </w:rPr>
        <w:t xml:space="preserve">388 du 23 décembre 2000 </w:t>
      </w:r>
      <w:r w:rsidRPr="00AA242A">
        <w:t>et</w:t>
      </w:r>
      <w:r>
        <w:t xml:space="preserve"> que</w:t>
      </w:r>
      <w:r w:rsidRPr="00AA242A">
        <w:t xml:space="preserve">, par conséquent, </w:t>
      </w:r>
      <w:r>
        <w:t>l’</w:t>
      </w:r>
      <w:r w:rsidRPr="00AA242A">
        <w:t xml:space="preserve">article 50 </w:t>
      </w:r>
      <w:r>
        <w:t xml:space="preserve">de celle-ci </w:t>
      </w:r>
      <w:r w:rsidRPr="00AA242A">
        <w:t>n</w:t>
      </w:r>
      <w:r>
        <w:t>’</w:t>
      </w:r>
      <w:r w:rsidRPr="00AA242A">
        <w:t>aurait pas dû s</w:t>
      </w:r>
      <w:r>
        <w:t>’</w:t>
      </w:r>
      <w:r w:rsidRPr="00AA242A">
        <w:t>appliquer.</w:t>
      </w:r>
    </w:p>
    <w:p w:rsidR="00CF7619" w:rsidRPr="006D6FF8" w:rsidRDefault="00CF7619" w:rsidP="006D6FF8">
      <w:pPr>
        <w:pStyle w:val="ECHRPara"/>
      </w:pPr>
      <w:fldSimple w:instr=" SEQ level0 \*arabic ">
        <w:r>
          <w:rPr>
            <w:noProof/>
          </w:rPr>
          <w:t>19</w:t>
        </w:r>
      </w:fldSimple>
      <w:r>
        <w:t>.  Les requérants sont d’avis qu’ils n’ont pas joui des garanties d’un procès équitable, en raison de</w:t>
      </w:r>
      <w:r w:rsidRPr="006D6FF8">
        <w:t xml:space="preserve"> la non-e</w:t>
      </w:r>
      <w:r>
        <w:t>xécution du jugement du TAR du 6 </w:t>
      </w:r>
      <w:r w:rsidRPr="006D6FF8">
        <w:t>décembre 1995</w:t>
      </w:r>
      <w:r>
        <w:t>, du fait</w:t>
      </w:r>
      <w:r w:rsidRPr="006D6FF8">
        <w:t xml:space="preserve"> de l</w:t>
      </w:r>
      <w:r>
        <w:t>’</w:t>
      </w:r>
      <w:r w:rsidRPr="006D6FF8">
        <w:t>application rétroactive de la loi n</w:t>
      </w:r>
      <w:r w:rsidRPr="006D6FF8">
        <w:rPr>
          <w:vertAlign w:val="superscript"/>
        </w:rPr>
        <w:t>o</w:t>
      </w:r>
      <w:r w:rsidRPr="006D6FF8">
        <w:t xml:space="preserve"> 388 du 23</w:t>
      </w:r>
      <w:r>
        <w:t> </w:t>
      </w:r>
      <w:r w:rsidRPr="006D6FF8">
        <w:t>décembre 2000.</w:t>
      </w:r>
    </w:p>
    <w:p w:rsidR="00CF7619" w:rsidRDefault="00CF7619" w:rsidP="005C5FCE">
      <w:pPr>
        <w:pStyle w:val="ECHRPara"/>
      </w:pPr>
      <w:fldSimple w:instr=" SEQ level0 \*arabic ">
        <w:r>
          <w:rPr>
            <w:noProof/>
          </w:rPr>
          <w:t>20</w:t>
        </w:r>
      </w:fldSimple>
      <w:r>
        <w:t xml:space="preserve">.  Ils affirment qu’il n’y avait </w:t>
      </w:r>
      <w:r w:rsidRPr="005636A5">
        <w:t>aucun motif impérieux d</w:t>
      </w:r>
      <w:r>
        <w:t>’</w:t>
      </w:r>
      <w:r w:rsidRPr="005636A5">
        <w:t>intérêt général pouvant justifier l</w:t>
      </w:r>
      <w:r>
        <w:t>’</w:t>
      </w:r>
      <w:r w:rsidRPr="005636A5">
        <w:t xml:space="preserve">ingérence </w:t>
      </w:r>
      <w:r>
        <w:t xml:space="preserve">dont ils ont été victimes </w:t>
      </w:r>
      <w:r w:rsidRPr="005636A5">
        <w:t>dans la gestion du contentieux judiciaire.</w:t>
      </w:r>
    </w:p>
    <w:p w:rsidR="00CF7619" w:rsidRDefault="00CF7619" w:rsidP="005C5FCE">
      <w:pPr>
        <w:pStyle w:val="ECHRPara"/>
      </w:pPr>
      <w:r>
        <w:t>Le seul but invoqué par le Gouvernement, exposent-ils, était</w:t>
      </w:r>
      <w:r w:rsidRPr="003146A4">
        <w:t xml:space="preserve"> d</w:t>
      </w:r>
      <w:r>
        <w:t>’ « </w:t>
      </w:r>
      <w:r w:rsidRPr="003146A4">
        <w:t>éviter une disparité de traitement</w:t>
      </w:r>
      <w:r>
        <w:t> »</w:t>
      </w:r>
      <w:r w:rsidRPr="003146A4">
        <w:t xml:space="preserve"> entre </w:t>
      </w:r>
      <w:r>
        <w:t>les magistrats au niveau de la rétribution. Ce but a, selon eux, été mis en avant par le Gouvernement dans d’autres affaires pendantes devant la Cour ayant pour objet des lois rétroactives intervenues en cours de procédure.</w:t>
      </w:r>
    </w:p>
    <w:p w:rsidR="00CF7619" w:rsidRDefault="00CF7619" w:rsidP="005C5FCE">
      <w:pPr>
        <w:pStyle w:val="ECHRPara"/>
      </w:pPr>
      <w:r>
        <w:t>Aux yeux des requérants, toutefois, le véritable et unique but de la loi litigieuse était d’ordre financier.</w:t>
      </w:r>
    </w:p>
    <w:p w:rsidR="00CF7619" w:rsidRDefault="00CF7619" w:rsidP="005C5FCE">
      <w:pPr>
        <w:pStyle w:val="ECHRPara"/>
      </w:pPr>
      <w:fldSimple w:instr=" SEQ level0 \*arabic ">
        <w:r>
          <w:rPr>
            <w:noProof/>
          </w:rPr>
          <w:t>21</w:t>
        </w:r>
      </w:fldSimple>
      <w:r>
        <w:t>.  En</w:t>
      </w:r>
      <w:r w:rsidRPr="005636A5">
        <w:t xml:space="preserve"> promulguant une loi rétroactive pour influer sur l</w:t>
      </w:r>
      <w:r>
        <w:t>’</w:t>
      </w:r>
      <w:r w:rsidRPr="005636A5">
        <w:t>issue des procédures judiciaires engagées à son encontre</w:t>
      </w:r>
      <w:r>
        <w:t xml:space="preserve">, </w:t>
      </w:r>
      <w:r w:rsidRPr="00430F0B">
        <w:t>l</w:t>
      </w:r>
      <w:r>
        <w:t>’</w:t>
      </w:r>
      <w:r w:rsidRPr="00430F0B">
        <w:t xml:space="preserve">État a </w:t>
      </w:r>
      <w:r>
        <w:t xml:space="preserve">selon eux </w:t>
      </w:r>
      <w:r w:rsidRPr="00430F0B">
        <w:t>violé le principe de l</w:t>
      </w:r>
      <w:r>
        <w:t>’</w:t>
      </w:r>
      <w:r w:rsidRPr="00430F0B">
        <w:t>égalité des armes</w:t>
      </w:r>
      <w:r w:rsidRPr="005636A5">
        <w:t>.</w:t>
      </w:r>
    </w:p>
    <w:p w:rsidR="00CF7619" w:rsidRDefault="00CF7619" w:rsidP="005C5FCE">
      <w:pPr>
        <w:pStyle w:val="ECHRPara"/>
      </w:pPr>
      <w:r>
        <w:t>E</w:t>
      </w:r>
      <w:r w:rsidRPr="00430F0B">
        <w:t>n s</w:t>
      </w:r>
      <w:r>
        <w:t>’</w:t>
      </w:r>
      <w:r w:rsidRPr="00430F0B">
        <w:t>ingérant dans l</w:t>
      </w:r>
      <w:r>
        <w:t>’</w:t>
      </w:r>
      <w:r w:rsidRPr="00430F0B">
        <w:t>administration de la justice</w:t>
      </w:r>
      <w:r>
        <w:t>, l’État</w:t>
      </w:r>
      <w:r w:rsidRPr="005636A5">
        <w:t xml:space="preserve"> aurait également méconnu l</w:t>
      </w:r>
      <w:r>
        <w:t>’</w:t>
      </w:r>
      <w:r w:rsidRPr="005636A5">
        <w:t>autonomie de la fonction juridictionnelle</w:t>
      </w:r>
      <w:r>
        <w:t>.</w:t>
      </w:r>
    </w:p>
    <w:p w:rsidR="00CF7619" w:rsidRPr="005C5FCE" w:rsidRDefault="00CF7619" w:rsidP="00A87505">
      <w:pPr>
        <w:pStyle w:val="ECHRPara"/>
      </w:pPr>
      <w:fldSimple w:instr=" SEQ level0 \*arabic ">
        <w:r>
          <w:rPr>
            <w:noProof/>
          </w:rPr>
          <w:t>22</w:t>
        </w:r>
      </w:fldSimple>
      <w:r w:rsidRPr="005C5FCE">
        <w:t xml:space="preserve">.  Le Gouvernement </w:t>
      </w:r>
      <w:r>
        <w:t>explique</w:t>
      </w:r>
      <w:r w:rsidRPr="005C5FCE">
        <w:t xml:space="preserve"> que la disp</w:t>
      </w:r>
      <w:r>
        <w:t>osition abrogée par l’article 50 de la loi de finances n</w:t>
      </w:r>
      <w:r w:rsidRPr="00BC3E51">
        <w:rPr>
          <w:vertAlign w:val="superscript"/>
        </w:rPr>
        <w:t>o</w:t>
      </w:r>
      <w:r w:rsidRPr="00AA242A">
        <w:t xml:space="preserve"> </w:t>
      </w:r>
      <w:r w:rsidRPr="00AA242A">
        <w:rPr>
          <w:bCs/>
        </w:rPr>
        <w:t>388 du 23 décembre 2000</w:t>
      </w:r>
      <w:r>
        <w:rPr>
          <w:bCs/>
        </w:rPr>
        <w:t xml:space="preserve"> </w:t>
      </w:r>
      <w:r w:rsidRPr="005C5FCE">
        <w:t>trouvait sa raison d</w:t>
      </w:r>
      <w:r>
        <w:t>’</w:t>
      </w:r>
      <w:r w:rsidRPr="005C5FCE">
        <w:t xml:space="preserve">être dans </w:t>
      </w:r>
      <w:r>
        <w:t>l’existence de magistrats du</w:t>
      </w:r>
      <w:r w:rsidRPr="005C5FCE">
        <w:t xml:space="preserve"> </w:t>
      </w:r>
      <w:r>
        <w:t>C</w:t>
      </w:r>
      <w:r w:rsidRPr="005C5FCE">
        <w:t>onseil d</w:t>
      </w:r>
      <w:r>
        <w:t>’É</w:t>
      </w:r>
      <w:r w:rsidRPr="005C5FCE">
        <w:t xml:space="preserve">tat et </w:t>
      </w:r>
      <w:r>
        <w:t>de</w:t>
      </w:r>
      <w:r w:rsidRPr="005C5FCE">
        <w:t xml:space="preserve"> la </w:t>
      </w:r>
      <w:r>
        <w:t>C</w:t>
      </w:r>
      <w:r w:rsidRPr="005C5FCE">
        <w:t xml:space="preserve">our des comptes </w:t>
      </w:r>
      <w:r>
        <w:t>entrés dans lesdites juridictions par nomination du</w:t>
      </w:r>
      <w:r w:rsidRPr="005C5FCE">
        <w:t xml:space="preserve"> </w:t>
      </w:r>
      <w:r>
        <w:t>g</w:t>
      </w:r>
      <w:r w:rsidRPr="005C5FCE">
        <w:t>ouvernement</w:t>
      </w:r>
      <w:r>
        <w:t xml:space="preserve"> et</w:t>
      </w:r>
      <w:r w:rsidRPr="005C5FCE">
        <w:t xml:space="preserve"> qui, au moment </w:t>
      </w:r>
      <w:r>
        <w:t>de leur intégration</w:t>
      </w:r>
      <w:r w:rsidRPr="005C5FCE">
        <w:t xml:space="preserve">, gardaient le traitement dont ils jouissaient </w:t>
      </w:r>
      <w:r>
        <w:t xml:space="preserve">antérieurement, lequel pouvait être </w:t>
      </w:r>
      <w:r w:rsidRPr="005C5FCE">
        <w:t>beaucoup plus élevé que celui de</w:t>
      </w:r>
      <w:r>
        <w:t xml:space="preserve"> leur</w:t>
      </w:r>
      <w:r w:rsidRPr="005C5FCE">
        <w:t xml:space="preserve">s </w:t>
      </w:r>
      <w:r>
        <w:t xml:space="preserve">nouveaux </w:t>
      </w:r>
      <w:r w:rsidRPr="005C5FCE">
        <w:t xml:space="preserve">collègues déjà en </w:t>
      </w:r>
      <w:r>
        <w:t>place</w:t>
      </w:r>
      <w:r w:rsidRPr="005C5FCE">
        <w:t>.</w:t>
      </w:r>
      <w:r>
        <w:t xml:space="preserve"> C’est </w:t>
      </w:r>
      <w:r w:rsidRPr="005C5FCE">
        <w:t xml:space="preserve">pour éviter </w:t>
      </w:r>
      <w:r>
        <w:t>ces</w:t>
      </w:r>
      <w:r w:rsidRPr="005C5FCE">
        <w:t xml:space="preserve"> disparité</w:t>
      </w:r>
      <w:r>
        <w:t>s que</w:t>
      </w:r>
      <w:r w:rsidRPr="005C5FCE">
        <w:t xml:space="preserve"> la loi avait prévu pour ce</w:t>
      </w:r>
      <w:r>
        <w:t>s</w:t>
      </w:r>
      <w:r w:rsidRPr="005C5FCE">
        <w:t xml:space="preserve"> dernier</w:t>
      </w:r>
      <w:r>
        <w:t>s</w:t>
      </w:r>
      <w:r w:rsidRPr="005C5FCE">
        <w:t xml:space="preserve"> le droit d</w:t>
      </w:r>
      <w:r>
        <w:t>’</w:t>
      </w:r>
      <w:r w:rsidRPr="005C5FCE">
        <w:t>obtenir la même rétribution</w:t>
      </w:r>
      <w:r>
        <w:t xml:space="preserve"> que les entrants</w:t>
      </w:r>
      <w:r w:rsidRPr="005C5FCE">
        <w:t>.</w:t>
      </w:r>
    </w:p>
    <w:p w:rsidR="00CF7619" w:rsidRDefault="00CF7619" w:rsidP="005C5FCE">
      <w:pPr>
        <w:pStyle w:val="ECHRPara"/>
      </w:pPr>
      <w:fldSimple w:instr=" SEQ level0 \*arabic ">
        <w:r>
          <w:rPr>
            <w:noProof/>
          </w:rPr>
          <w:t>23</w:t>
        </w:r>
      </w:fldSimple>
      <w:r w:rsidRPr="005C5FCE">
        <w:t>.  </w:t>
      </w:r>
      <w:r>
        <w:t>Le Gouvernement</w:t>
      </w:r>
      <w:r w:rsidRPr="005C5FCE">
        <w:t xml:space="preserve"> note que la péréquation ainsi prévue n</w:t>
      </w:r>
      <w:r>
        <w:t>’</w:t>
      </w:r>
      <w:r w:rsidRPr="005C5FCE">
        <w:t>était pas</w:t>
      </w:r>
      <w:r>
        <w:t xml:space="preserve"> automatique,</w:t>
      </w:r>
      <w:r w:rsidRPr="005C5FCE">
        <w:t xml:space="preserve"> mais subordonnée à une demande de l</w:t>
      </w:r>
      <w:r>
        <w:t>’</w:t>
      </w:r>
      <w:r w:rsidRPr="005C5FCE">
        <w:t xml:space="preserve">intéressé, </w:t>
      </w:r>
      <w:r>
        <w:t>lequel</w:t>
      </w:r>
      <w:r w:rsidRPr="005C5FCE">
        <w:t xml:space="preserve"> devait indiquer le traitement du collègue auquel il voulait se </w:t>
      </w:r>
      <w:r>
        <w:t xml:space="preserve">comparer : </w:t>
      </w:r>
      <w:r w:rsidRPr="005C5FCE">
        <w:t>dans la pratique</w:t>
      </w:r>
      <w:r>
        <w:t xml:space="preserve">, il en résultait </w:t>
      </w:r>
      <w:r w:rsidRPr="005C5FCE">
        <w:t xml:space="preserve">une absence de paramètres généraux et certains. </w:t>
      </w:r>
      <w:r>
        <w:t>En outre, avec</w:t>
      </w:r>
      <w:r w:rsidRPr="005C5FCE">
        <w:t xml:space="preserve"> </w:t>
      </w:r>
      <w:r>
        <w:t xml:space="preserve">l’ouverture de </w:t>
      </w:r>
      <w:r w:rsidRPr="005C5FCE">
        <w:t>cette possibilité</w:t>
      </w:r>
      <w:r>
        <w:t>, la rémunération</w:t>
      </w:r>
      <w:r w:rsidRPr="005C5FCE">
        <w:t xml:space="preserve"> des magistrats administratifs avait</w:t>
      </w:r>
      <w:r>
        <w:t xml:space="preserve">, </w:t>
      </w:r>
      <w:r w:rsidRPr="00430F0B">
        <w:t>de façon générale,</w:t>
      </w:r>
      <w:r w:rsidRPr="005C5FCE">
        <w:t xml:space="preserve"> beaucoup augmenté</w:t>
      </w:r>
      <w:r>
        <w:t>.</w:t>
      </w:r>
    </w:p>
    <w:p w:rsidR="00CF7619" w:rsidRDefault="00CF7619" w:rsidP="005C5FCE">
      <w:pPr>
        <w:pStyle w:val="ECHRPara"/>
      </w:pPr>
      <w:r w:rsidRPr="005C5FCE">
        <w:t>C</w:t>
      </w:r>
      <w:r>
        <w:t>’</w:t>
      </w:r>
      <w:r w:rsidRPr="005C5FCE">
        <w:t>est ainsi qu</w:t>
      </w:r>
      <w:r>
        <w:t>’</w:t>
      </w:r>
      <w:r w:rsidRPr="005C5FCE">
        <w:t xml:space="preserve">après plusieurs critiques </w:t>
      </w:r>
      <w:r>
        <w:t>de</w:t>
      </w:r>
      <w:r w:rsidRPr="005C5FCE">
        <w:t xml:space="preserve"> ce système</w:t>
      </w:r>
      <w:r>
        <w:t xml:space="preserve"> – appelé en italien « flottaison » (</w:t>
      </w:r>
      <w:r w:rsidRPr="00430F0B">
        <w:rPr>
          <w:i/>
        </w:rPr>
        <w:t>galleggiamento</w:t>
      </w:r>
      <w:r>
        <w:t>) –</w:t>
      </w:r>
      <w:r w:rsidRPr="005C5FCE">
        <w:t>, l</w:t>
      </w:r>
      <w:r>
        <w:t>’</w:t>
      </w:r>
      <w:r w:rsidRPr="005C5FCE">
        <w:t>article 50 alinéa 4 de</w:t>
      </w:r>
      <w:r>
        <w:t xml:space="preserve"> la loi de finances n</w:t>
      </w:r>
      <w:r w:rsidRPr="00BC3E51">
        <w:rPr>
          <w:vertAlign w:val="superscript"/>
        </w:rPr>
        <w:t>o</w:t>
      </w:r>
      <w:r w:rsidRPr="00AA242A">
        <w:t xml:space="preserve"> </w:t>
      </w:r>
      <w:r w:rsidRPr="00AA242A">
        <w:rPr>
          <w:bCs/>
        </w:rPr>
        <w:t>388 du 23 décembre 2000</w:t>
      </w:r>
      <w:r>
        <w:rPr>
          <w:bCs/>
        </w:rPr>
        <w:t xml:space="preserve"> </w:t>
      </w:r>
      <w:r w:rsidRPr="005C5FCE">
        <w:t>a</w:t>
      </w:r>
      <w:r>
        <w:t> :</w:t>
      </w:r>
    </w:p>
    <w:p w:rsidR="00CF7619" w:rsidRDefault="00CF7619" w:rsidP="005C5FCE">
      <w:pPr>
        <w:pStyle w:val="ECHRPara"/>
      </w:pPr>
      <w:r>
        <w:t xml:space="preserve">– </w:t>
      </w:r>
      <w:r w:rsidRPr="005C5FCE">
        <w:t>établi un système de péréquation de tous les traitements</w:t>
      </w:r>
      <w:r>
        <w:t>,</w:t>
      </w:r>
    </w:p>
    <w:p w:rsidR="00CF7619" w:rsidRDefault="00CF7619" w:rsidP="005C5FCE">
      <w:pPr>
        <w:pStyle w:val="ECHRPara"/>
      </w:pPr>
      <w:r>
        <w:t xml:space="preserve">– décidé qu’il serait attribué, </w:t>
      </w:r>
      <w:r w:rsidRPr="005C5FCE">
        <w:t>à partir du 10 janvier 2001, à ceux qui n</w:t>
      </w:r>
      <w:r>
        <w:t>’</w:t>
      </w:r>
      <w:r w:rsidRPr="005C5FCE">
        <w:t>avaient pas</w:t>
      </w:r>
      <w:r>
        <w:t xml:space="preserve"> </w:t>
      </w:r>
      <w:r w:rsidRPr="005C5FCE">
        <w:t xml:space="preserve">bénéficié </w:t>
      </w:r>
      <w:r>
        <w:t xml:space="preserve">d’un </w:t>
      </w:r>
      <w:r w:rsidRPr="005C5FCE">
        <w:t>alignement d</w:t>
      </w:r>
      <w:r>
        <w:t>e leur</w:t>
      </w:r>
      <w:r w:rsidRPr="005C5FCE">
        <w:t xml:space="preserve"> salaire, un niveau salarial homogène, correspondant à celui</w:t>
      </w:r>
      <w:r>
        <w:t xml:space="preserve"> </w:t>
      </w:r>
      <w:r w:rsidRPr="005C5FCE">
        <w:t>de</w:t>
      </w:r>
      <w:r>
        <w:t>s</w:t>
      </w:r>
      <w:r w:rsidRPr="005C5FCE">
        <w:t xml:space="preserve"> magistrat</w:t>
      </w:r>
      <w:r>
        <w:t>s</w:t>
      </w:r>
      <w:r w:rsidRPr="005C5FCE">
        <w:t xml:space="preserve"> de </w:t>
      </w:r>
      <w:r>
        <w:t>la Cour de c</w:t>
      </w:r>
      <w:r w:rsidRPr="005C5FCE">
        <w:t>assation, dès lors qu</w:t>
      </w:r>
      <w:r>
        <w:t>’</w:t>
      </w:r>
      <w:r w:rsidRPr="005C5FCE">
        <w:t xml:space="preserve">ils </w:t>
      </w:r>
      <w:r>
        <w:t>obtiendraient</w:t>
      </w:r>
      <w:r w:rsidRPr="005C5FCE">
        <w:t xml:space="preserve"> </w:t>
      </w:r>
      <w:r>
        <w:t>le titre</w:t>
      </w:r>
      <w:r w:rsidRPr="005C5FCE">
        <w:t xml:space="preserve"> de </w:t>
      </w:r>
      <w:r>
        <w:t>« c</w:t>
      </w:r>
      <w:r w:rsidRPr="005C5FCE">
        <w:t>onseiller</w:t>
      </w:r>
      <w:r>
        <w:t> »</w:t>
      </w:r>
      <w:r w:rsidRPr="005C5FCE">
        <w:t xml:space="preserve"> ou</w:t>
      </w:r>
      <w:r>
        <w:t xml:space="preserve"> </w:t>
      </w:r>
      <w:r w:rsidRPr="005C5FCE">
        <w:t>d</w:t>
      </w:r>
      <w:r>
        <w:t>’ « a</w:t>
      </w:r>
      <w:r w:rsidRPr="005C5FCE">
        <w:t>vocat de l</w:t>
      </w:r>
      <w:r>
        <w:t>’État »</w:t>
      </w:r>
      <w:r w:rsidRPr="005C5FCE">
        <w:t>.</w:t>
      </w:r>
    </w:p>
    <w:p w:rsidR="00CF7619" w:rsidRDefault="00CF7619" w:rsidP="005C5FCE">
      <w:pPr>
        <w:pStyle w:val="ECHRPara"/>
      </w:pPr>
      <w:r w:rsidRPr="005C5FCE">
        <w:t>Cette disposition a en même temps abrogé les dispositions de</w:t>
      </w:r>
      <w:r>
        <w:t xml:space="preserve"> </w:t>
      </w:r>
      <w:r w:rsidRPr="005C5FCE">
        <w:t>l</w:t>
      </w:r>
      <w:r>
        <w:t>’</w:t>
      </w:r>
      <w:r w:rsidRPr="005C5FCE">
        <w:t>alinéa 9 de l</w:t>
      </w:r>
      <w:r>
        <w:t>’</w:t>
      </w:r>
      <w:r w:rsidRPr="005C5FCE">
        <w:t xml:space="preserve">article 4 de la loi </w:t>
      </w:r>
      <w:r>
        <w:t>n</w:t>
      </w:r>
      <w:r w:rsidRPr="00F97FF1">
        <w:rPr>
          <w:vertAlign w:val="superscript"/>
        </w:rPr>
        <w:t>o</w:t>
      </w:r>
      <w:r w:rsidRPr="00430F0B">
        <w:t xml:space="preserve"> 425 du </w:t>
      </w:r>
      <w:r w:rsidRPr="005C5FCE">
        <w:t xml:space="preserve">6 août 1984, </w:t>
      </w:r>
      <w:r>
        <w:t xml:space="preserve">et ce </w:t>
      </w:r>
      <w:r w:rsidRPr="005C5FCE">
        <w:t xml:space="preserve">avec effet </w:t>
      </w:r>
      <w:r>
        <w:t xml:space="preserve">à compter </w:t>
      </w:r>
      <w:r w:rsidRPr="005C5FCE">
        <w:t>de l</w:t>
      </w:r>
      <w:r>
        <w:t>’</w:t>
      </w:r>
      <w:r w:rsidRPr="005C5FCE">
        <w:t>entrée en vigueur</w:t>
      </w:r>
      <w:r>
        <w:t xml:space="preserve"> </w:t>
      </w:r>
      <w:r w:rsidRPr="005C5FCE">
        <w:t>du décret-</w:t>
      </w:r>
      <w:r>
        <w:t>loi n</w:t>
      </w:r>
      <w:r w:rsidRPr="00BC3E51">
        <w:rPr>
          <w:vertAlign w:val="superscript"/>
        </w:rPr>
        <w:t>o</w:t>
      </w:r>
      <w:r>
        <w:t xml:space="preserve"> 333 de </w:t>
      </w:r>
      <w:r w:rsidRPr="005C5FCE">
        <w:t xml:space="preserve">1992, converti </w:t>
      </w:r>
      <w:r>
        <w:t>en la loi n</w:t>
      </w:r>
      <w:r w:rsidRPr="00BC3E51">
        <w:rPr>
          <w:vertAlign w:val="superscript"/>
        </w:rPr>
        <w:t>o</w:t>
      </w:r>
      <w:r>
        <w:t xml:space="preserve"> 359 de 1992</w:t>
      </w:r>
      <w:r w:rsidRPr="005C5FCE">
        <w:t>.</w:t>
      </w:r>
    </w:p>
    <w:p w:rsidR="00CF7619" w:rsidRDefault="00CF7619" w:rsidP="005C5FCE">
      <w:pPr>
        <w:pStyle w:val="ECHRPara"/>
      </w:pPr>
      <w:r>
        <w:t>Ce faisant</w:t>
      </w:r>
      <w:r w:rsidRPr="005C5FCE">
        <w:t xml:space="preserve">, </w:t>
      </w:r>
      <w:r>
        <w:t xml:space="preserve">estime le Gouvernement, </w:t>
      </w:r>
      <w:r w:rsidRPr="005C5FCE">
        <w:t>la loi a établi des cri</w:t>
      </w:r>
      <w:r>
        <w:t>tères homogènes de rémunération.</w:t>
      </w:r>
    </w:p>
    <w:p w:rsidR="00CF7619" w:rsidRDefault="00CF7619" w:rsidP="005C5FCE">
      <w:pPr>
        <w:pStyle w:val="ECHRPara"/>
      </w:pPr>
      <w:fldSimple w:instr=" SEQ level0 \*arabic ">
        <w:r>
          <w:rPr>
            <w:noProof/>
          </w:rPr>
          <w:t>24</w:t>
        </w:r>
      </w:fldSimple>
      <w:r>
        <w:t xml:space="preserve">.  Le Gouvernement est d’avis que </w:t>
      </w:r>
      <w:r w:rsidRPr="00AA242A">
        <w:t>la loi de finances n</w:t>
      </w:r>
      <w:r w:rsidRPr="00BC3E51">
        <w:rPr>
          <w:vertAlign w:val="superscript"/>
        </w:rPr>
        <w:t>o</w:t>
      </w:r>
      <w:r w:rsidRPr="00AA242A">
        <w:t xml:space="preserve"> </w:t>
      </w:r>
      <w:r w:rsidRPr="00AA242A">
        <w:rPr>
          <w:bCs/>
        </w:rPr>
        <w:t>388 du 23</w:t>
      </w:r>
      <w:r>
        <w:rPr>
          <w:b/>
          <w:bCs/>
        </w:rPr>
        <w:t> </w:t>
      </w:r>
      <w:r w:rsidRPr="00AA242A">
        <w:rPr>
          <w:bCs/>
        </w:rPr>
        <w:t xml:space="preserve">décembre </w:t>
      </w:r>
      <w:r>
        <w:rPr>
          <w:bCs/>
        </w:rPr>
        <w:t>2000</w:t>
      </w:r>
      <w:r w:rsidRPr="00AA242A">
        <w:t xml:space="preserve"> a réalisé un but social nécessaire et appréciable. Il était </w:t>
      </w:r>
      <w:r>
        <w:t>selon lui</w:t>
      </w:r>
      <w:r w:rsidRPr="00AA242A">
        <w:t xml:space="preserve"> indispensable de mettre fin à l</w:t>
      </w:r>
      <w:r>
        <w:t>’</w:t>
      </w:r>
      <w:r w:rsidRPr="00AA242A">
        <w:t xml:space="preserve">institution </w:t>
      </w:r>
      <w:r>
        <w:t>de la</w:t>
      </w:r>
      <w:r w:rsidRPr="00AA242A">
        <w:t xml:space="preserve"> « </w:t>
      </w:r>
      <w:r>
        <w:t>flottaison</w:t>
      </w:r>
      <w:r w:rsidRPr="00AA242A">
        <w:t> », qui menait à des résultats inéquitables.</w:t>
      </w:r>
    </w:p>
    <w:p w:rsidR="00CF7619" w:rsidRDefault="00CF7619" w:rsidP="005C5FCE">
      <w:pPr>
        <w:pStyle w:val="ECHRPara"/>
      </w:pPr>
      <w:fldSimple w:instr=" SEQ level0 \*arabic ">
        <w:r>
          <w:rPr>
            <w:noProof/>
          </w:rPr>
          <w:t>25</w:t>
        </w:r>
      </w:fldSimple>
      <w:r>
        <w:t>.  Le Gouvernement fait valoir que s</w:t>
      </w:r>
      <w:r w:rsidRPr="005C5FCE">
        <w:t>elon l</w:t>
      </w:r>
      <w:r>
        <w:t>’</w:t>
      </w:r>
      <w:r w:rsidRPr="005C5FCE">
        <w:t xml:space="preserve">interprétation </w:t>
      </w:r>
      <w:r>
        <w:t>communément admise,</w:t>
      </w:r>
      <w:r w:rsidRPr="005C5FCE">
        <w:t xml:space="preserve"> conforme aux principes de la </w:t>
      </w:r>
      <w:r>
        <w:t>Cour constitutionnelle</w:t>
      </w:r>
      <w:r w:rsidRPr="005C5FCE">
        <w:t>, la</w:t>
      </w:r>
      <w:r>
        <w:t xml:space="preserve"> disposition de la loi de finances n</w:t>
      </w:r>
      <w:r>
        <w:rPr>
          <w:vertAlign w:val="superscript"/>
        </w:rPr>
        <w:t>o</w:t>
      </w:r>
      <w:r w:rsidRPr="00AA242A">
        <w:t xml:space="preserve"> </w:t>
      </w:r>
      <w:r w:rsidRPr="00AA242A">
        <w:rPr>
          <w:bCs/>
        </w:rPr>
        <w:t>388 du 23 décembre 2000</w:t>
      </w:r>
      <w:r>
        <w:rPr>
          <w:bCs/>
        </w:rPr>
        <w:t xml:space="preserve"> </w:t>
      </w:r>
      <w:r>
        <w:t>interdisant d’exécuter les</w:t>
      </w:r>
      <w:r w:rsidRPr="005C5FCE">
        <w:t xml:space="preserve"> paiements découlant d</w:t>
      </w:r>
      <w:r>
        <w:t>’</w:t>
      </w:r>
      <w:r w:rsidRPr="005C5FCE">
        <w:t>une décision</w:t>
      </w:r>
      <w:r>
        <w:t xml:space="preserve"> judiciaire</w:t>
      </w:r>
      <w:r w:rsidRPr="005C5FCE">
        <w:t xml:space="preserve"> </w:t>
      </w:r>
      <w:r>
        <w:t xml:space="preserve">incompatible avec cette nouvelle loi </w:t>
      </w:r>
      <w:r w:rsidRPr="005C5FCE">
        <w:t>concern</w:t>
      </w:r>
      <w:r>
        <w:t>e</w:t>
      </w:r>
      <w:r w:rsidRPr="005C5FCE">
        <w:t xml:space="preserve"> les décisions qui </w:t>
      </w:r>
      <w:r>
        <w:t>ne sont</w:t>
      </w:r>
      <w:r w:rsidRPr="005C5FCE">
        <w:t xml:space="preserve"> pas encore passées en force de «</w:t>
      </w:r>
      <w:r>
        <w:t> c</w:t>
      </w:r>
      <w:r w:rsidRPr="005C5FCE">
        <w:t>hose jugée</w:t>
      </w:r>
      <w:r>
        <w:t xml:space="preserve"> </w:t>
      </w:r>
      <w:r w:rsidRPr="005C5FCE">
        <w:t>»</w:t>
      </w:r>
      <w:r>
        <w:t>.</w:t>
      </w:r>
    </w:p>
    <w:p w:rsidR="00CF7619" w:rsidRDefault="00CF7619" w:rsidP="005C5FCE">
      <w:pPr>
        <w:pStyle w:val="ECHRPara"/>
      </w:pPr>
      <w:r>
        <w:t>Quant à la question de savoir</w:t>
      </w:r>
      <w:r w:rsidRPr="005C5FCE">
        <w:t xml:space="preserve"> </w:t>
      </w:r>
      <w:r>
        <w:t>si la</w:t>
      </w:r>
      <w:r w:rsidRPr="005C5FCE">
        <w:t xml:space="preserve"> force de chose jugée </w:t>
      </w:r>
      <w:r>
        <w:t xml:space="preserve">était déjà acquise dans une espèce déterminée, explique-t-il cependant, </w:t>
      </w:r>
      <w:r w:rsidRPr="005C5FCE">
        <w:t>c</w:t>
      </w:r>
      <w:r>
        <w:t>’</w:t>
      </w:r>
      <w:r w:rsidRPr="005C5FCE">
        <w:t xml:space="preserve">est au juge </w:t>
      </w:r>
      <w:r>
        <w:t>(</w:t>
      </w:r>
      <w:r w:rsidRPr="005C5FCE">
        <w:t>interne</w:t>
      </w:r>
      <w:r>
        <w:t>)</w:t>
      </w:r>
      <w:r w:rsidRPr="005C5FCE">
        <w:t xml:space="preserve"> </w:t>
      </w:r>
      <w:r>
        <w:t>qu’il appartient d’y répondre</w:t>
      </w:r>
      <w:r w:rsidRPr="005C5FCE">
        <w:t>.</w:t>
      </w:r>
    </w:p>
    <w:p w:rsidR="00CF7619" w:rsidRDefault="00CF7619" w:rsidP="005C5FCE">
      <w:pPr>
        <w:pStyle w:val="ECHRPara"/>
      </w:pPr>
      <w:r>
        <w:t>En l’espèce, pour le Gouvernement, les</w:t>
      </w:r>
      <w:r w:rsidRPr="005C5FCE">
        <w:t xml:space="preserve"> requérants ont </w:t>
      </w:r>
      <w:r>
        <w:t xml:space="preserve">pu </w:t>
      </w:r>
      <w:r w:rsidRPr="005C5FCE">
        <w:t>exerc</w:t>
      </w:r>
      <w:r>
        <w:t>er</w:t>
      </w:r>
      <w:r w:rsidRPr="005C5FCE">
        <w:t xml:space="preserve"> leur</w:t>
      </w:r>
      <w:r>
        <w:t>s</w:t>
      </w:r>
      <w:r w:rsidRPr="005C5FCE">
        <w:t xml:space="preserve"> droit</w:t>
      </w:r>
      <w:r>
        <w:t>s</w:t>
      </w:r>
      <w:r w:rsidRPr="005C5FCE">
        <w:t xml:space="preserve"> garanti</w:t>
      </w:r>
      <w:r>
        <w:t>s</w:t>
      </w:r>
      <w:r w:rsidRPr="005C5FCE">
        <w:t xml:space="preserve"> par l</w:t>
      </w:r>
      <w:r>
        <w:t xml:space="preserve">’article 6 de la Convention ; il se trouve que, </w:t>
      </w:r>
      <w:r w:rsidRPr="005C5FCE">
        <w:t>en</w:t>
      </w:r>
      <w:r>
        <w:t xml:space="preserve"> </w:t>
      </w:r>
      <w:r w:rsidRPr="005C5FCE">
        <w:t xml:space="preserve">fin </w:t>
      </w:r>
      <w:r>
        <w:t xml:space="preserve">de compte, </w:t>
      </w:r>
      <w:r w:rsidRPr="005C5FCE">
        <w:t>le juge a établi que</w:t>
      </w:r>
      <w:r>
        <w:t xml:space="preserve"> le jugement dont ils se prévalaient n’avait pas encore acquis</w:t>
      </w:r>
      <w:r w:rsidRPr="005C5FCE">
        <w:t xml:space="preserve"> force de «</w:t>
      </w:r>
      <w:r>
        <w:t> c</w:t>
      </w:r>
      <w:r w:rsidRPr="005C5FCE">
        <w:t>hose jugée »</w:t>
      </w:r>
      <w:r>
        <w:t xml:space="preserve"> </w:t>
      </w:r>
      <w:r w:rsidRPr="00430F0B">
        <w:t>à la date pertinente</w:t>
      </w:r>
      <w:r w:rsidRPr="005C5FCE">
        <w:t>.</w:t>
      </w:r>
    </w:p>
    <w:p w:rsidR="00CF7619" w:rsidRDefault="00CF7619" w:rsidP="005C5FCE">
      <w:pPr>
        <w:pStyle w:val="ECHRPara"/>
      </w:pPr>
      <w:fldSimple w:instr=" SEQ level0 \*arabic ">
        <w:r>
          <w:rPr>
            <w:noProof/>
          </w:rPr>
          <w:t>26</w:t>
        </w:r>
      </w:fldSimple>
      <w:r>
        <w:t xml:space="preserve">.  Le Gouvernement ajoute </w:t>
      </w:r>
      <w:r w:rsidRPr="005C5FCE">
        <w:t>que, bien que les requérants aient perdu les</w:t>
      </w:r>
      <w:r>
        <w:t xml:space="preserve"> </w:t>
      </w:r>
      <w:r w:rsidRPr="005C5FCE">
        <w:t xml:space="preserve">avantages </w:t>
      </w:r>
      <w:r>
        <w:t>de la</w:t>
      </w:r>
      <w:r w:rsidRPr="005C5FCE">
        <w:t xml:space="preserve"> </w:t>
      </w:r>
      <w:r>
        <w:t>« flottaison »</w:t>
      </w:r>
      <w:r w:rsidRPr="005C5FCE">
        <w:t xml:space="preserve">, ils ont acquis, </w:t>
      </w:r>
      <w:r>
        <w:t>grâce à</w:t>
      </w:r>
      <w:r w:rsidRPr="005C5FCE">
        <w:t xml:space="preserve"> la nouvelle loi, des hausses de</w:t>
      </w:r>
      <w:r>
        <w:t xml:space="preserve"> </w:t>
      </w:r>
      <w:r w:rsidRPr="005C5FCE">
        <w:t>rétribution d</w:t>
      </w:r>
      <w:r>
        <w:t>’</w:t>
      </w:r>
      <w:r w:rsidRPr="005C5FCE">
        <w:t xml:space="preserve">application générale pour </w:t>
      </w:r>
      <w:r>
        <w:t>leur</w:t>
      </w:r>
      <w:r w:rsidRPr="005C5FCE">
        <w:t xml:space="preserve"> catégorie</w:t>
      </w:r>
      <w:r>
        <w:t> ;</w:t>
      </w:r>
      <w:r w:rsidRPr="005C5FCE">
        <w:t xml:space="preserve"> par conséquent</w:t>
      </w:r>
      <w:r>
        <w:t>,</w:t>
      </w:r>
      <w:r w:rsidRPr="005C5FCE">
        <w:t xml:space="preserve"> le sacrifice a été</w:t>
      </w:r>
      <w:r>
        <w:t xml:space="preserve"> </w:t>
      </w:r>
      <w:r w:rsidRPr="005C5FCE">
        <w:t>limité et</w:t>
      </w:r>
      <w:r>
        <w:t>, selon lui,</w:t>
      </w:r>
      <w:r w:rsidRPr="005C5FCE">
        <w:t xml:space="preserve"> proportionné aux buts poursuivis par le législateur.</w:t>
      </w:r>
    </w:p>
    <w:p w:rsidR="00CF7619" w:rsidRDefault="00CF7619" w:rsidP="00A307C9">
      <w:pPr>
        <w:pStyle w:val="ECHRHeading3"/>
      </w:pPr>
      <w:r>
        <w:t>2.  Appréciation de la Cour</w:t>
      </w:r>
    </w:p>
    <w:p w:rsidR="00CF7619" w:rsidRPr="00315DE0" w:rsidRDefault="00CF7619" w:rsidP="00315DE0">
      <w:pPr>
        <w:pStyle w:val="ECHRPara"/>
      </w:pPr>
      <w:fldSimple w:instr=" SEQ level0 \*arabic ">
        <w:r>
          <w:rPr>
            <w:noProof/>
          </w:rPr>
          <w:t>27</w:t>
        </w:r>
      </w:fldSimple>
      <w:r>
        <w:t>.  À titre liminaire, la Cour</w:t>
      </w:r>
      <w:r w:rsidRPr="00315DE0">
        <w:rPr>
          <w:rFonts w:eastAsia="Times New Roman"/>
        </w:rPr>
        <w:t xml:space="preserve"> </w:t>
      </w:r>
      <w:r w:rsidRPr="00315DE0">
        <w:t>n</w:t>
      </w:r>
      <w:r>
        <w:t>’</w:t>
      </w:r>
      <w:r w:rsidRPr="00315DE0">
        <w:t>estime pas nécessaire de remettre en discussion la conclusion à laquelle est parvenu le Conseil d</w:t>
      </w:r>
      <w:r>
        <w:t>’</w:t>
      </w:r>
      <w:r w:rsidRPr="00315DE0">
        <w:t>Éta</w:t>
      </w:r>
      <w:r>
        <w:t>t sur le moment auquel la décision du TAR est devenue définitive.</w:t>
      </w:r>
      <w:r w:rsidRPr="00315DE0">
        <w:t xml:space="preserve"> Même à supposer que la décision du TAR </w:t>
      </w:r>
      <w:r>
        <w:t>ne fût pas encore</w:t>
      </w:r>
      <w:r w:rsidRPr="00315DE0">
        <w:t xml:space="preserve"> définitive </w:t>
      </w:r>
      <w:r>
        <w:t>à la date</w:t>
      </w:r>
      <w:r w:rsidRPr="00315DE0">
        <w:t xml:space="preserve"> </w:t>
      </w:r>
      <w:r>
        <w:t xml:space="preserve">de </w:t>
      </w:r>
      <w:r w:rsidRPr="00315DE0">
        <w:t>l</w:t>
      </w:r>
      <w:r>
        <w:t>’</w:t>
      </w:r>
      <w:r w:rsidRPr="00315DE0">
        <w:t>entrée en vigueur de la loi n</w:t>
      </w:r>
      <w:r w:rsidRPr="00315DE0">
        <w:rPr>
          <w:vertAlign w:val="superscript"/>
        </w:rPr>
        <w:t>o</w:t>
      </w:r>
      <w:r w:rsidRPr="00315DE0">
        <w:t xml:space="preserve"> 388 du 2000, comme l</w:t>
      </w:r>
      <w:r>
        <w:t>’</w:t>
      </w:r>
      <w:r w:rsidRPr="00315DE0">
        <w:t>affirme le Conseil d</w:t>
      </w:r>
      <w:r>
        <w:t>’</w:t>
      </w:r>
      <w:r w:rsidRPr="00315DE0">
        <w:t xml:space="preserve">État, </w:t>
      </w:r>
      <w:r>
        <w:t>la Cour</w:t>
      </w:r>
      <w:r w:rsidRPr="00315DE0">
        <w:t xml:space="preserve"> se pose la question de savoir si l</w:t>
      </w:r>
      <w:r>
        <w:t>’</w:t>
      </w:r>
      <w:r w:rsidRPr="00315DE0">
        <w:t xml:space="preserve">intervention </w:t>
      </w:r>
      <w:r>
        <w:t>du législateur</w:t>
      </w:r>
      <w:r w:rsidRPr="00315DE0">
        <w:t xml:space="preserve">, avec </w:t>
      </w:r>
      <w:r>
        <w:t xml:space="preserve">un </w:t>
      </w:r>
      <w:r w:rsidRPr="00315DE0">
        <w:t xml:space="preserve">effet rétroactif </w:t>
      </w:r>
      <w:r>
        <w:t>qui a eu</w:t>
      </w:r>
      <w:r w:rsidRPr="00315DE0">
        <w:t xml:space="preserve"> pour conséquence d</w:t>
      </w:r>
      <w:r>
        <w:t>’</w:t>
      </w:r>
      <w:r w:rsidRPr="00315DE0">
        <w:t>entériner la position de l</w:t>
      </w:r>
      <w:r>
        <w:t>’</w:t>
      </w:r>
      <w:r w:rsidRPr="00315DE0">
        <w:t xml:space="preserve">État dans le cadre de procédures diligentées contre lui et </w:t>
      </w:r>
      <w:r>
        <w:t>alors</w:t>
      </w:r>
      <w:r w:rsidRPr="00315DE0">
        <w:t xml:space="preserve"> pendantes devant les juridictions judiciaires, est compatible avec l</w:t>
      </w:r>
      <w:r>
        <w:t>’</w:t>
      </w:r>
      <w:r w:rsidRPr="00315DE0">
        <w:t>article 6 § 1 de la Convention.</w:t>
      </w:r>
    </w:p>
    <w:p w:rsidR="00CF7619" w:rsidRDefault="00CF7619" w:rsidP="000F3E50">
      <w:pPr>
        <w:pStyle w:val="ECHRPara"/>
      </w:pPr>
      <w:fldSimple w:instr=" SEQ level0 \*arabic ">
        <w:r>
          <w:rPr>
            <w:noProof/>
          </w:rPr>
          <w:t>28</w:t>
        </w:r>
      </w:fldSimple>
      <w:r w:rsidRPr="00685582">
        <w:t>.  </w:t>
      </w:r>
      <w:r w:rsidRPr="000F3E50">
        <w:t>La Cour réaffirme que si, en principe, le pouvoir législatif n</w:t>
      </w:r>
      <w:r>
        <w:t>’</w:t>
      </w:r>
      <w:r w:rsidRPr="000F3E50">
        <w:t>est pas empêché</w:t>
      </w:r>
      <w:r>
        <w:t xml:space="preserve">, </w:t>
      </w:r>
      <w:r w:rsidRPr="000F3E50">
        <w:t xml:space="preserve">en matière civile, </w:t>
      </w:r>
      <w:r>
        <w:t xml:space="preserve">de préciser </w:t>
      </w:r>
      <w:r w:rsidRPr="000F3E50">
        <w:t>par de nouvelles dispositions à portée rétroactive</w:t>
      </w:r>
      <w:r>
        <w:t xml:space="preserve"> la portée </w:t>
      </w:r>
      <w:r w:rsidRPr="000F3E50">
        <w:t>des droits découlant de lois en vigueur, le principe de la prééminence du droit et la notion de procès équitable consacrés par l</w:t>
      </w:r>
      <w:r>
        <w:t>’</w:t>
      </w:r>
      <w:r w:rsidRPr="000F3E50">
        <w:t>article 6 s</w:t>
      </w:r>
      <w:r>
        <w:t>’</w:t>
      </w:r>
      <w:r w:rsidRPr="000F3E50">
        <w:t>opposent, sauf pour d</w:t>
      </w:r>
      <w:r>
        <w:t>’</w:t>
      </w:r>
      <w:r w:rsidRPr="000F3E50">
        <w:t>impérieux motifs d</w:t>
      </w:r>
      <w:r>
        <w:t>’</w:t>
      </w:r>
      <w:r w:rsidRPr="000F3E50">
        <w:t>intérêt général, à l</w:t>
      </w:r>
      <w:r>
        <w:t>’</w:t>
      </w:r>
      <w:r w:rsidRPr="000F3E50">
        <w:t>ingérence du pouvoir législatif dans l</w:t>
      </w:r>
      <w:r>
        <w:t>’</w:t>
      </w:r>
      <w:r w:rsidRPr="000F3E50">
        <w:t>administration de la justice dans le but d</w:t>
      </w:r>
      <w:r>
        <w:t>’</w:t>
      </w:r>
      <w:r w:rsidRPr="000F3E50">
        <w:t>influer sur le dénouement judiciaire d</w:t>
      </w:r>
      <w:r>
        <w:t>’</w:t>
      </w:r>
      <w:r w:rsidRPr="000F3E50">
        <w:t>un litige (</w:t>
      </w:r>
      <w:r w:rsidRPr="008C335C">
        <w:rPr>
          <w:i/>
        </w:rPr>
        <w:t>Raffineries grecques Stran et Stratis Andreadis c. Grèce</w:t>
      </w:r>
      <w:r w:rsidRPr="008C335C">
        <w:t xml:space="preserve">, 9 décembre 1994, § </w:t>
      </w:r>
      <w:r>
        <w:t>49</w:t>
      </w:r>
      <w:r w:rsidRPr="008C335C">
        <w:t>, série A n</w:t>
      </w:r>
      <w:r w:rsidRPr="008C335C">
        <w:rPr>
          <w:vertAlign w:val="superscript"/>
        </w:rPr>
        <w:t>o</w:t>
      </w:r>
      <w:r w:rsidRPr="008C335C">
        <w:t xml:space="preserve"> 301</w:t>
      </w:r>
      <w:r w:rsidRPr="008C335C">
        <w:noBreakHyphen/>
        <w:t>B</w:t>
      </w:r>
      <w:r>
        <w:t xml:space="preserve"> </w:t>
      </w:r>
      <w:r w:rsidRPr="000F3E50">
        <w:t xml:space="preserve">; </w:t>
      </w:r>
      <w:r w:rsidRPr="008C335C">
        <w:rPr>
          <w:i/>
        </w:rPr>
        <w:t>Zielinski et Pradal et Gonzalez et autres c. France</w:t>
      </w:r>
      <w:r w:rsidRPr="008C335C">
        <w:t xml:space="preserve"> [GC], n</w:t>
      </w:r>
      <w:r w:rsidRPr="008C335C">
        <w:rPr>
          <w:vertAlign w:val="superscript"/>
        </w:rPr>
        <w:t>os</w:t>
      </w:r>
      <w:r w:rsidRPr="008C335C">
        <w:t xml:space="preserve"> 24846/94 et 34165/96 à 34173/96, § </w:t>
      </w:r>
      <w:r>
        <w:t>57</w:t>
      </w:r>
      <w:r w:rsidRPr="008C335C">
        <w:t>, CEDH 1999</w:t>
      </w:r>
      <w:r w:rsidRPr="008C335C">
        <w:noBreakHyphen/>
        <w:t>VII</w:t>
      </w:r>
      <w:r w:rsidRPr="000F3E50">
        <w:t>).</w:t>
      </w:r>
    </w:p>
    <w:p w:rsidR="00CF7619" w:rsidRDefault="00CF7619" w:rsidP="000F3E50">
      <w:pPr>
        <w:pStyle w:val="ECHRPara"/>
      </w:pPr>
      <w:r w:rsidRPr="000F3E50">
        <w:t>La Cour rappelle en outre que l</w:t>
      </w:r>
      <w:r>
        <w:t>’</w:t>
      </w:r>
      <w:r w:rsidRPr="000F3E50">
        <w:t>exigence de l</w:t>
      </w:r>
      <w:r>
        <w:t>’</w:t>
      </w:r>
      <w:r w:rsidRPr="000F3E50">
        <w:t>égalité des armes implique l</w:t>
      </w:r>
      <w:r>
        <w:t>’</w:t>
      </w:r>
      <w:r w:rsidRPr="000F3E50">
        <w:t>obligation d</w:t>
      </w:r>
      <w:r>
        <w:t>’</w:t>
      </w:r>
      <w:r w:rsidRPr="000F3E50">
        <w:t xml:space="preserve">offrir à chaque partie une possibilité raisonnable de présenter sa cause dans des conditions qui ne la placent pas dans une situation de net désavantage par rapport à la partie adverse (voir notamment les arrêts </w:t>
      </w:r>
      <w:r w:rsidRPr="000F3E50">
        <w:rPr>
          <w:i/>
          <w:iCs/>
        </w:rPr>
        <w:t>Dombo Beheer B.V. c. Pays-Bas</w:t>
      </w:r>
      <w:r w:rsidRPr="000F3E50">
        <w:t xml:space="preserve"> du 27 octobre 1993, § 33, série A n</w:t>
      </w:r>
      <w:r w:rsidRPr="000F3E50">
        <w:rPr>
          <w:vertAlign w:val="superscript"/>
        </w:rPr>
        <w:t>o</w:t>
      </w:r>
      <w:r w:rsidRPr="000F3E50">
        <w:t xml:space="preserve"> 274, </w:t>
      </w:r>
      <w:r>
        <w:rPr>
          <w:vanish/>
        </w:rPr>
        <w:t>§33 ;</w:t>
      </w:r>
      <w:r w:rsidRPr="000F3E50">
        <w:rPr>
          <w:vanish/>
        </w:rPr>
        <w:t xml:space="preserve"> </w:t>
      </w:r>
      <w:r w:rsidRPr="000F3E50">
        <w:t>et </w:t>
      </w:r>
      <w:r w:rsidRPr="000F3E50">
        <w:rPr>
          <w:i/>
          <w:iCs/>
        </w:rPr>
        <w:t>Raffineries grecques Stran et Stratis Andreadis</w:t>
      </w:r>
      <w:r w:rsidRPr="000F3E50">
        <w:t>, précité, § 46).</w:t>
      </w:r>
    </w:p>
    <w:p w:rsidR="00CF7619" w:rsidRPr="004E2C3C" w:rsidRDefault="00CF7619" w:rsidP="000F3E50">
      <w:pPr>
        <w:pStyle w:val="ECHRPara"/>
      </w:pPr>
      <w:fldSimple w:instr=" SEQ level0 \*arabic ">
        <w:r>
          <w:rPr>
            <w:noProof/>
          </w:rPr>
          <w:t>29</w:t>
        </w:r>
      </w:fldSimple>
      <w:r w:rsidRPr="004E2C3C">
        <w:t>.  La Cour est amenée à se prononcer en l</w:t>
      </w:r>
      <w:r>
        <w:t>’</w:t>
      </w:r>
      <w:r w:rsidRPr="004E2C3C">
        <w:t>espèce sur la question de savoir si l</w:t>
      </w:r>
      <w:r>
        <w:t>’</w:t>
      </w:r>
      <w:r w:rsidRPr="004E2C3C">
        <w:t xml:space="preserve">intervention de la loi du 18 décembre 2003 a porté atteinte au caractère équitable de la procédure et </w:t>
      </w:r>
      <w:r>
        <w:t xml:space="preserve">notamment </w:t>
      </w:r>
      <w:r w:rsidRPr="004E2C3C">
        <w:t>à l</w:t>
      </w:r>
      <w:r>
        <w:t>’</w:t>
      </w:r>
      <w:r w:rsidRPr="004E2C3C">
        <w:t xml:space="preserve">égalité des armes, en </w:t>
      </w:r>
      <w:r>
        <w:t>exerçant</w:t>
      </w:r>
      <w:r w:rsidRPr="004E2C3C">
        <w:t>, en cours d</w:t>
      </w:r>
      <w:r>
        <w:t>’</w:t>
      </w:r>
      <w:r w:rsidRPr="004E2C3C">
        <w:t xml:space="preserve">instance, </w:t>
      </w:r>
      <w:r>
        <w:t xml:space="preserve">une influence sur </w:t>
      </w:r>
      <w:r w:rsidRPr="004E2C3C">
        <w:t>l</w:t>
      </w:r>
      <w:r>
        <w:t>’</w:t>
      </w:r>
      <w:r w:rsidRPr="004E2C3C">
        <w:t xml:space="preserve">issue </w:t>
      </w:r>
      <w:r>
        <w:t>du litige</w:t>
      </w:r>
      <w:r w:rsidRPr="004E2C3C">
        <w:t>.</w:t>
      </w:r>
    </w:p>
    <w:bookmarkStart w:id="1" w:name="HIT1"/>
    <w:bookmarkEnd w:id="1"/>
    <w:p w:rsidR="00CF7619" w:rsidRPr="00FB7B21" w:rsidRDefault="00CF7619" w:rsidP="00FB7B21">
      <w:pPr>
        <w:pStyle w:val="ECHRPara"/>
        <w:rPr>
          <w:i/>
        </w:rPr>
      </w:pPr>
      <w:r>
        <w:fldChar w:fldCharType="begin"/>
      </w:r>
      <w:r>
        <w:instrText xml:space="preserve"> SEQ level0 \*arabic </w:instrText>
      </w:r>
      <w:r>
        <w:fldChar w:fldCharType="separate"/>
      </w:r>
      <w:r>
        <w:rPr>
          <w:noProof/>
        </w:rPr>
        <w:t>30</w:t>
      </w:r>
      <w:r>
        <w:fldChar w:fldCharType="end"/>
      </w:r>
      <w:r>
        <w:t>.  </w:t>
      </w:r>
      <w:r w:rsidRPr="00FB7B21">
        <w:t>Dans des affaires soulevant des problèmes similaires</w:t>
      </w:r>
      <w:r>
        <w:t xml:space="preserve"> à ceux de la présente</w:t>
      </w:r>
      <w:r w:rsidRPr="00FB7B21">
        <w:t xml:space="preserve">, </w:t>
      </w:r>
      <w:r>
        <w:t>la Cour</w:t>
      </w:r>
      <w:r w:rsidRPr="00FB7B21">
        <w:t xml:space="preserve"> a relevé que l</w:t>
      </w:r>
      <w:r>
        <w:t>’</w:t>
      </w:r>
      <w:r w:rsidRPr="00FB7B21">
        <w:t>intervention du législateur avait eu lieu à un moment où une instance judiciaire à laquelle l</w:t>
      </w:r>
      <w:r>
        <w:t>’État</w:t>
      </w:r>
      <w:r w:rsidRPr="00FB7B21">
        <w:t xml:space="preserve"> était partie se trouvait pendante. Elle a </w:t>
      </w:r>
      <w:r>
        <w:t>ainsi</w:t>
      </w:r>
      <w:r w:rsidRPr="00FB7B21">
        <w:t xml:space="preserve"> conclu </w:t>
      </w:r>
      <w:r>
        <w:t>qu’</w:t>
      </w:r>
      <w:r w:rsidRPr="00FB7B21">
        <w:t>en intervenant d</w:t>
      </w:r>
      <w:r>
        <w:t>’</w:t>
      </w:r>
      <w:r w:rsidRPr="00FB7B21">
        <w:t>une manière décisive pour orienter en sa faveur l</w:t>
      </w:r>
      <w:r>
        <w:t>’</w:t>
      </w:r>
      <w:r w:rsidRPr="00FB7B21">
        <w:t>issue imminente de l</w:t>
      </w:r>
      <w:r>
        <w:t>’</w:t>
      </w:r>
      <w:r w:rsidRPr="00FB7B21">
        <w:t>instance à laquelle il était partie</w:t>
      </w:r>
      <w:r>
        <w:t xml:space="preserve">, </w:t>
      </w:r>
      <w:r w:rsidRPr="00430F0B">
        <w:t>l</w:t>
      </w:r>
      <w:r>
        <w:t>’</w:t>
      </w:r>
      <w:r w:rsidRPr="00430F0B">
        <w:t>État avait porté atteinte aux droits des requérants garantis par l</w:t>
      </w:r>
      <w:r>
        <w:t>’</w:t>
      </w:r>
      <w:r w:rsidRPr="00430F0B">
        <w:t xml:space="preserve">article 6 </w:t>
      </w:r>
      <w:r w:rsidRPr="00FB7B21">
        <w:t>(</w:t>
      </w:r>
      <w:r w:rsidRPr="00430F0B">
        <w:t>voir, notamment,</w:t>
      </w:r>
      <w:r w:rsidRPr="004E2C3C">
        <w:rPr>
          <w:i/>
        </w:rPr>
        <w:t xml:space="preserve"> Zielinski et Pradal et Gonzalez et autres c. France</w:t>
      </w:r>
      <w:r w:rsidRPr="00FB7B21">
        <w:t xml:space="preserve"> [GC], n</w:t>
      </w:r>
      <w:r w:rsidRPr="00430F0B">
        <w:rPr>
          <w:vertAlign w:val="superscript"/>
        </w:rPr>
        <w:t>os</w:t>
      </w:r>
      <w:r w:rsidRPr="00FB7B21">
        <w:t xml:space="preserve"> </w:t>
      </w:r>
      <w:hyperlink r:id="rId10" w:anchor="{&quot;appno&quot;:[&quot;24846/94&quot;]}" w:tgtFrame="_blank" w:history="1">
        <w:r w:rsidRPr="00FB7B21">
          <w:rPr>
            <w:rStyle w:val="Hyperlink"/>
            <w:color w:val="auto"/>
            <w:u w:val="none"/>
          </w:rPr>
          <w:t>24846/94</w:t>
        </w:r>
      </w:hyperlink>
      <w:r w:rsidRPr="00FB7B21">
        <w:t xml:space="preserve"> et </w:t>
      </w:r>
      <w:hyperlink r:id="rId11" w:anchor="{&quot;appno&quot;:[&quot;34165/96&quot;]}" w:tgtFrame="_blank" w:history="1">
        <w:r w:rsidRPr="00FB7B21">
          <w:rPr>
            <w:rStyle w:val="Hyperlink"/>
            <w:color w:val="auto"/>
            <w:u w:val="none"/>
          </w:rPr>
          <w:t>34165/96</w:t>
        </w:r>
      </w:hyperlink>
      <w:r w:rsidRPr="00FB7B21">
        <w:t xml:space="preserve"> à </w:t>
      </w:r>
      <w:hyperlink r:id="rId12" w:anchor="{&quot;appno&quot;:[&quot;34173/96&quot;]}" w:tgtFrame="_blank" w:history="1">
        <w:r w:rsidRPr="00FB7B21">
          <w:rPr>
            <w:rStyle w:val="Hyperlink"/>
            <w:color w:val="auto"/>
            <w:u w:val="none"/>
          </w:rPr>
          <w:t>34173/96</w:t>
        </w:r>
      </w:hyperlink>
      <w:r w:rsidRPr="00FB7B21">
        <w:t>, § 57, CEDH 1999</w:t>
      </w:r>
      <w:r w:rsidRPr="00FB7B21">
        <w:noBreakHyphen/>
        <w:t>VII</w:t>
      </w:r>
      <w:r>
        <w:t xml:space="preserve">, </w:t>
      </w:r>
      <w:r w:rsidRPr="00245B78">
        <w:rPr>
          <w:i/>
        </w:rPr>
        <w:t>SCM Scanner de l</w:t>
      </w:r>
      <w:r>
        <w:rPr>
          <w:i/>
        </w:rPr>
        <w:t>’</w:t>
      </w:r>
      <w:r w:rsidRPr="00245B78">
        <w:rPr>
          <w:i/>
        </w:rPr>
        <w:t>Ouest Lyonnais et autres c. France</w:t>
      </w:r>
      <w:r w:rsidRPr="00FB7B21">
        <w:t xml:space="preserve">, </w:t>
      </w:r>
      <w:r>
        <w:t>n</w:t>
      </w:r>
      <w:r w:rsidRPr="00BC3E51">
        <w:rPr>
          <w:vertAlign w:val="superscript"/>
        </w:rPr>
        <w:t>o</w:t>
      </w:r>
      <w:r w:rsidRPr="00FB7B21">
        <w:t xml:space="preserve"> </w:t>
      </w:r>
      <w:hyperlink r:id="rId13" w:anchor="{&quot;appno&quot;:[&quot;12106/03&quot;]}" w:tgtFrame="_blank" w:history="1">
        <w:r w:rsidRPr="00FB7B21">
          <w:rPr>
            <w:rStyle w:val="Hyperlink"/>
            <w:color w:val="auto"/>
            <w:u w:val="none"/>
          </w:rPr>
          <w:t>12106/03</w:t>
        </w:r>
      </w:hyperlink>
      <w:r w:rsidRPr="00FB7B21">
        <w:t>, § 28, 21</w:t>
      </w:r>
      <w:r>
        <w:t> </w:t>
      </w:r>
      <w:r w:rsidRPr="00FB7B21">
        <w:t>juin</w:t>
      </w:r>
      <w:r>
        <w:t> </w:t>
      </w:r>
      <w:r w:rsidRPr="00FB7B21">
        <w:t>2007</w:t>
      </w:r>
      <w:r>
        <w:t>,</w:t>
      </w:r>
      <w:r w:rsidRPr="00FB7B21">
        <w:t> </w:t>
      </w:r>
      <w:r>
        <w:t xml:space="preserve">et </w:t>
      </w:r>
      <w:r w:rsidRPr="00FB7B21">
        <w:rPr>
          <w:i/>
        </w:rPr>
        <w:t>Agrati e</w:t>
      </w:r>
      <w:r>
        <w:rPr>
          <w:i/>
        </w:rPr>
        <w:t>t autres c. Italie</w:t>
      </w:r>
      <w:r w:rsidRPr="00FB7B21">
        <w:t>, n</w:t>
      </w:r>
      <w:r w:rsidRPr="00FB7B21">
        <w:rPr>
          <w:vertAlign w:val="superscript"/>
        </w:rPr>
        <w:t>os</w:t>
      </w:r>
      <w:r w:rsidRPr="00FB7B21">
        <w:t xml:space="preserve">. 43549/08, 6107/09 </w:t>
      </w:r>
      <w:r>
        <w:t>et</w:t>
      </w:r>
      <w:r w:rsidRPr="00FB7B21">
        <w:t xml:space="preserve"> 5087/09</w:t>
      </w:r>
      <w:r>
        <w:rPr>
          <w:snapToGrid w:val="0"/>
          <w:szCs w:val="24"/>
        </w:rPr>
        <w:t>,</w:t>
      </w:r>
      <w:r w:rsidRPr="00FB7B21">
        <w:rPr>
          <w:snapToGrid w:val="0"/>
          <w:szCs w:val="24"/>
        </w:rPr>
        <w:t xml:space="preserve"> 7 </w:t>
      </w:r>
      <w:r>
        <w:rPr>
          <w:snapToGrid w:val="0"/>
          <w:szCs w:val="24"/>
        </w:rPr>
        <w:t> juin </w:t>
      </w:r>
      <w:r w:rsidRPr="00FB7B21">
        <w:rPr>
          <w:snapToGrid w:val="0"/>
          <w:szCs w:val="24"/>
        </w:rPr>
        <w:t>2011</w:t>
      </w:r>
      <w:r w:rsidRPr="00FB7B21">
        <w:t>).</w:t>
      </w:r>
    </w:p>
    <w:p w:rsidR="00CF7619" w:rsidRPr="00FB7B21" w:rsidRDefault="00CF7619" w:rsidP="00FB7B21">
      <w:pPr>
        <w:pStyle w:val="ECHRPara"/>
      </w:pPr>
      <w:fldSimple w:instr=" SEQ level0 \*arabic ">
        <w:r>
          <w:rPr>
            <w:noProof/>
          </w:rPr>
          <w:t>31</w:t>
        </w:r>
      </w:fldSimple>
      <w:r>
        <w:t>.  </w:t>
      </w:r>
      <w:r w:rsidRPr="00FB7B21">
        <w:t>La Cour observe par ailleurs qu</w:t>
      </w:r>
      <w:r>
        <w:t>’</w:t>
      </w:r>
      <w:r w:rsidRPr="00FB7B21">
        <w:t>avant l</w:t>
      </w:r>
      <w:r>
        <w:t>’</w:t>
      </w:r>
      <w:r w:rsidRPr="00FB7B21">
        <w:t>entrée en vigueur</w:t>
      </w:r>
      <w:r>
        <w:t xml:space="preserve"> de</w:t>
      </w:r>
      <w:r w:rsidRPr="00FB7B21">
        <w:t xml:space="preserve"> la loi du </w:t>
      </w:r>
      <w:r>
        <w:t>23</w:t>
      </w:r>
      <w:r w:rsidRPr="00FB7B21">
        <w:t xml:space="preserve"> décembre 200</w:t>
      </w:r>
      <w:r>
        <w:t>0</w:t>
      </w:r>
      <w:r w:rsidRPr="00FB7B21">
        <w:t>, les requérants pouvai</w:t>
      </w:r>
      <w:r>
        <w:t>ent</w:t>
      </w:r>
      <w:r w:rsidRPr="00FB7B21">
        <w:t xml:space="preserve"> légitimement s</w:t>
      </w:r>
      <w:r>
        <w:t>’</w:t>
      </w:r>
      <w:r w:rsidRPr="00FB7B21">
        <w:t xml:space="preserve">attendre à une augmentation de </w:t>
      </w:r>
      <w:r>
        <w:t>leur s</w:t>
      </w:r>
      <w:r w:rsidRPr="00FB7B21">
        <w:t xml:space="preserve">alaire. Or, cette loi </w:t>
      </w:r>
      <w:r>
        <w:rPr>
          <w:bCs/>
        </w:rPr>
        <w:t xml:space="preserve">est venue </w:t>
      </w:r>
      <w:r w:rsidRPr="00FB7B21">
        <w:rPr>
          <w:bCs/>
        </w:rPr>
        <w:t>interdi</w:t>
      </w:r>
      <w:r>
        <w:rPr>
          <w:bCs/>
        </w:rPr>
        <w:t>re,</w:t>
      </w:r>
      <w:r w:rsidRPr="00FB7B21">
        <w:rPr>
          <w:bCs/>
        </w:rPr>
        <w:t xml:space="preserve"> avec effet rétroactif, de </w:t>
      </w:r>
      <w:r>
        <w:rPr>
          <w:bCs/>
        </w:rPr>
        <w:t>procéder au</w:t>
      </w:r>
      <w:r w:rsidRPr="00FB7B21">
        <w:rPr>
          <w:bCs/>
        </w:rPr>
        <w:t xml:space="preserve"> paiement de </w:t>
      </w:r>
      <w:r>
        <w:rPr>
          <w:bCs/>
        </w:rPr>
        <w:t xml:space="preserve">certaines </w:t>
      </w:r>
      <w:r w:rsidRPr="00FB7B21">
        <w:rPr>
          <w:bCs/>
        </w:rPr>
        <w:t xml:space="preserve">créances déterminées par des décisions judiciaires </w:t>
      </w:r>
      <w:r>
        <w:rPr>
          <w:bCs/>
        </w:rPr>
        <w:t>lorsque celles-ci</w:t>
      </w:r>
      <w:r w:rsidRPr="00FB7B21">
        <w:rPr>
          <w:bCs/>
        </w:rPr>
        <w:t xml:space="preserve"> n</w:t>
      </w:r>
      <w:r>
        <w:rPr>
          <w:bCs/>
        </w:rPr>
        <w:t>’</w:t>
      </w:r>
      <w:r w:rsidRPr="00FB7B21">
        <w:rPr>
          <w:bCs/>
        </w:rPr>
        <w:t>étaient pas encore devenues définitives à la date de son entrée en vigueur</w:t>
      </w:r>
    </w:p>
    <w:p w:rsidR="00CF7619" w:rsidRDefault="00CF7619" w:rsidP="00FB7B21">
      <w:pPr>
        <w:pStyle w:val="ECHRPara"/>
      </w:pPr>
      <w:fldSimple w:instr=" SEQ level0 \*arabic ">
        <w:r>
          <w:rPr>
            <w:noProof/>
          </w:rPr>
          <w:t>32</w:t>
        </w:r>
      </w:fldSimple>
      <w:r w:rsidRPr="00FB7B21">
        <w:t>.  </w:t>
      </w:r>
      <w:r>
        <w:t>N’</w:t>
      </w:r>
      <w:r w:rsidRPr="00FB7B21">
        <w:t>exclua</w:t>
      </w:r>
      <w:r>
        <w:t>n</w:t>
      </w:r>
      <w:r w:rsidRPr="00FB7B21">
        <w:t>t de son champ d</w:t>
      </w:r>
      <w:r>
        <w:t>’</w:t>
      </w:r>
      <w:r w:rsidRPr="00FB7B21">
        <w:t xml:space="preserve">application que les décisions de justice passées en force de chose jugée, </w:t>
      </w:r>
      <w:r w:rsidRPr="00430F0B">
        <w:t xml:space="preserve">la disposition critiquée </w:t>
      </w:r>
      <w:r>
        <w:t xml:space="preserve">de la </w:t>
      </w:r>
      <w:r w:rsidRPr="00430F0B">
        <w:t>loi de finances n</w:t>
      </w:r>
      <w:r w:rsidRPr="00430F0B">
        <w:rPr>
          <w:vertAlign w:val="superscript"/>
        </w:rPr>
        <w:t>o</w:t>
      </w:r>
      <w:r w:rsidRPr="00430F0B">
        <w:t xml:space="preserve"> </w:t>
      </w:r>
      <w:r w:rsidRPr="00430F0B">
        <w:rPr>
          <w:bCs/>
        </w:rPr>
        <w:t>388 du 23</w:t>
      </w:r>
      <w:r w:rsidRPr="00430F0B">
        <w:rPr>
          <w:b/>
          <w:bCs/>
        </w:rPr>
        <w:t xml:space="preserve"> </w:t>
      </w:r>
      <w:r w:rsidRPr="00430F0B">
        <w:rPr>
          <w:bCs/>
        </w:rPr>
        <w:t>décembre 2000</w:t>
      </w:r>
      <w:r>
        <w:rPr>
          <w:bCs/>
        </w:rPr>
        <w:t xml:space="preserve"> </w:t>
      </w:r>
      <w:r w:rsidRPr="00FB7B21">
        <w:t>fixait définitivement</w:t>
      </w:r>
      <w:r w:rsidRPr="00430F0B">
        <w:t xml:space="preserve">, de manière rétroactive, </w:t>
      </w:r>
      <w:r w:rsidRPr="00FB7B21">
        <w:t xml:space="preserve">les termes du débat soumis aux juridictions </w:t>
      </w:r>
      <w:r>
        <w:t>dans</w:t>
      </w:r>
      <w:r w:rsidRPr="00430F0B">
        <w:t xml:space="preserve"> les instances en cours</w:t>
      </w:r>
      <w:r w:rsidRPr="00FB7B21">
        <w:t>.</w:t>
      </w:r>
    </w:p>
    <w:p w:rsidR="00CF7619" w:rsidRDefault="00CF7619" w:rsidP="00FB7B21">
      <w:pPr>
        <w:pStyle w:val="ECHRPara"/>
      </w:pPr>
      <w:r>
        <w:t>En l’espèce,</w:t>
      </w:r>
      <w:r w:rsidRPr="00FB7B21">
        <w:t xml:space="preserve"> les actions </w:t>
      </w:r>
      <w:r w:rsidRPr="004E2C3C">
        <w:t>introduites par les requérants devant les juridictions internes étaient alors pendantes.</w:t>
      </w:r>
      <w:r>
        <w:t xml:space="preserve"> L’</w:t>
      </w:r>
      <w:r w:rsidRPr="004E2C3C">
        <w:t>adoption de</w:t>
      </w:r>
      <w:r>
        <w:t xml:space="preserve"> cette loi, qui</w:t>
      </w:r>
      <w:r w:rsidRPr="004E2C3C">
        <w:rPr>
          <w:bCs/>
        </w:rPr>
        <w:t xml:space="preserve"> </w:t>
      </w:r>
      <w:r w:rsidRPr="004E2C3C">
        <w:t>réglait le fond du litige</w:t>
      </w:r>
      <w:r>
        <w:t xml:space="preserve">, </w:t>
      </w:r>
      <w:r w:rsidRPr="004E2C3C">
        <w:t xml:space="preserve">rendait vaine toute continuation </w:t>
      </w:r>
      <w:r>
        <w:t>de l’exécution du jugement non définitif rendu en leur faveur</w:t>
      </w:r>
      <w:r w:rsidRPr="004E2C3C">
        <w:t>.</w:t>
      </w:r>
    </w:p>
    <w:p w:rsidR="00CF7619" w:rsidRDefault="00CF7619" w:rsidP="00FB7B21">
      <w:pPr>
        <w:pStyle w:val="ECHRPara"/>
      </w:pPr>
      <w:fldSimple w:instr=" SEQ level0 \*arabic ">
        <w:r>
          <w:rPr>
            <w:noProof/>
          </w:rPr>
          <w:t>33</w:t>
        </w:r>
      </w:fldSimple>
      <w:r w:rsidRPr="004E2C3C">
        <w:t>.  Reste à vérifier si la rétroactivité de la loi</w:t>
      </w:r>
      <w:r w:rsidRPr="00FB7B21">
        <w:t xml:space="preserve"> reposait sur d</w:t>
      </w:r>
      <w:r>
        <w:t>’</w:t>
      </w:r>
      <w:r w:rsidRPr="00FB7B21">
        <w:t>impérieux motifs d</w:t>
      </w:r>
      <w:r>
        <w:t>’</w:t>
      </w:r>
      <w:r w:rsidRPr="00FB7B21">
        <w:t>intérêt général.</w:t>
      </w:r>
      <w:r w:rsidRPr="00327CE3">
        <w:t xml:space="preserve"> </w:t>
      </w:r>
      <w:r>
        <w:t>L</w:t>
      </w:r>
      <w:r w:rsidRPr="000F3E50">
        <w:t>e Gouvernement</w:t>
      </w:r>
      <w:r>
        <w:t xml:space="preserve"> se réfère à la nécessité d’éliminer la disparité de traitement au niveau de la rétribution des magistrats, mais n’indique pas les raisons qui lui auraient imposé d’intervenir dans les procédures en cours</w:t>
      </w:r>
    </w:p>
    <w:p w:rsidR="00CF7619" w:rsidRPr="000F3E50" w:rsidRDefault="00CF7619" w:rsidP="005E116A">
      <w:pPr>
        <w:pStyle w:val="ECHRPara"/>
      </w:pPr>
      <w:fldSimple w:instr=" SEQ level0 \*arabic ">
        <w:r>
          <w:rPr>
            <w:noProof/>
          </w:rPr>
          <w:t>34</w:t>
        </w:r>
      </w:fldSimple>
      <w:r>
        <w:t>.  </w:t>
      </w:r>
      <w:r w:rsidRPr="00FB7B21">
        <w:t>La Cour no</w:t>
      </w:r>
      <w:r>
        <w:t>te à cet égard, que le Gouvernement n’a même pas essayé d’expliquer quelles raisons impérieuses, au sens de sa jurisprudence, étaient censées justifier une intervention législative rétroactive en cours de procédure</w:t>
      </w:r>
      <w:r w:rsidRPr="000F3E50">
        <w:t>. Aucun des arguments présentés par le Gouvernement ne convainc donc la Cour de la légitimité et de la proportionnalité de l</w:t>
      </w:r>
      <w:r>
        <w:t>’</w:t>
      </w:r>
      <w:r w:rsidRPr="000F3E50">
        <w:t>ingérence. Compte tenu de ce qui précède, l</w:t>
      </w:r>
      <w:r>
        <w:t>’</w:t>
      </w:r>
      <w:r w:rsidRPr="000F3E50">
        <w:t>intervention législative litigieuse, qui réglait définitivement, de manière rétroactive, le fond du litige opposant les requérants à l</w:t>
      </w:r>
      <w:r>
        <w:t>’État</w:t>
      </w:r>
      <w:r w:rsidRPr="000F3E50">
        <w:t xml:space="preserve"> devant les juridictions internes, n</w:t>
      </w:r>
      <w:r>
        <w:t>’</w:t>
      </w:r>
      <w:r w:rsidRPr="000F3E50">
        <w:t>était pas justifiée par d</w:t>
      </w:r>
      <w:r>
        <w:t>’</w:t>
      </w:r>
      <w:r w:rsidRPr="000F3E50">
        <w:t>impérieux motifs d</w:t>
      </w:r>
      <w:r>
        <w:t>’</w:t>
      </w:r>
      <w:r w:rsidRPr="000F3E50">
        <w:t>intérêt général.</w:t>
      </w:r>
    </w:p>
    <w:p w:rsidR="00CF7619" w:rsidRPr="000F3E50" w:rsidRDefault="00CF7619" w:rsidP="000F3E50">
      <w:pPr>
        <w:pStyle w:val="ECHRPara"/>
      </w:pPr>
      <w:fldSimple w:instr=" SEQ level0 \*arabic ">
        <w:r>
          <w:rPr>
            <w:noProof/>
          </w:rPr>
          <w:t>35</w:t>
        </w:r>
      </w:fldSimple>
      <w:r>
        <w:t>.  </w:t>
      </w:r>
      <w:r w:rsidRPr="000F3E50">
        <w:t>Partant, la Cour conclut à la violation de l</w:t>
      </w:r>
      <w:r>
        <w:t>’</w:t>
      </w:r>
      <w:r w:rsidRPr="000F3E50">
        <w:t>article 6 § 1 de la Convention</w:t>
      </w:r>
      <w:r>
        <w:t>.</w:t>
      </w:r>
    </w:p>
    <w:p w:rsidR="00CF7619" w:rsidRPr="00685582" w:rsidRDefault="00CF7619">
      <w:pPr>
        <w:pStyle w:val="ECHRHeading1"/>
      </w:pPr>
      <w:r>
        <w:t>II</w:t>
      </w:r>
      <w:r w:rsidRPr="00685582">
        <w:t>.  SUR L</w:t>
      </w:r>
      <w:r>
        <w:t>’</w:t>
      </w:r>
      <w:r w:rsidRPr="00685582">
        <w:t>APPLICATION DE L</w:t>
      </w:r>
      <w:r>
        <w:t>’</w:t>
      </w:r>
      <w:r w:rsidRPr="00685582">
        <w:t>ARTICLE 41 DE LA CONVENTION</w:t>
      </w:r>
    </w:p>
    <w:p w:rsidR="00CF7619" w:rsidRPr="00685582" w:rsidRDefault="00CF7619" w:rsidP="00B33C50">
      <w:pPr>
        <w:pStyle w:val="ECHRPara"/>
        <w:keepNext/>
        <w:keepLines/>
        <w:outlineLvl w:val="0"/>
      </w:pPr>
      <w:fldSimple w:instr=" SEQ level0 \*arabic ">
        <w:r>
          <w:rPr>
            <w:noProof/>
          </w:rPr>
          <w:t>36</w:t>
        </w:r>
      </w:fldSimple>
      <w:r w:rsidRPr="00685582">
        <w:t>.  Aux termes de l</w:t>
      </w:r>
      <w:r>
        <w:t>’</w:t>
      </w:r>
      <w:r w:rsidRPr="00685582">
        <w:t>article 41 de la Convention,</w:t>
      </w:r>
    </w:p>
    <w:p w:rsidR="00CF7619" w:rsidRPr="00685582" w:rsidRDefault="00CF7619">
      <w:pPr>
        <w:pStyle w:val="ECHRParaQuote"/>
        <w:keepNext/>
        <w:keepLines/>
      </w:pPr>
      <w:r w:rsidRPr="00685582">
        <w:t>« Si la Cour déclare qu</w:t>
      </w:r>
      <w:r>
        <w:t>’</w:t>
      </w:r>
      <w:r w:rsidRPr="00685582">
        <w:t>il y a eu violation de la Convention ou de ses Protocoles, et si le droit interne de la Haute Partie contractante ne permet d</w:t>
      </w:r>
      <w:r>
        <w:t>’</w:t>
      </w:r>
      <w:r w:rsidRPr="00685582">
        <w:t>effacer qu</w:t>
      </w:r>
      <w:r>
        <w:t>’</w:t>
      </w:r>
      <w:r w:rsidRPr="00685582">
        <w:t>imparfaitement les conséquences de cette violation, la Cour accorde à la partie lésée, s</w:t>
      </w:r>
      <w:r>
        <w:t>’</w:t>
      </w:r>
      <w:r w:rsidRPr="00685582">
        <w:t>il y a lieu, une satisfaction équitable. »</w:t>
      </w:r>
    </w:p>
    <w:p w:rsidR="00CF7619" w:rsidRPr="00685582" w:rsidRDefault="00CF7619" w:rsidP="00B33C50">
      <w:pPr>
        <w:pStyle w:val="ECHRHeading2"/>
        <w:outlineLvl w:val="0"/>
      </w:pPr>
      <w:r w:rsidRPr="00685582">
        <w:t>A.  Dommage</w:t>
      </w:r>
    </w:p>
    <w:p w:rsidR="00CF7619" w:rsidRDefault="00CF7619" w:rsidP="009E2D52">
      <w:pPr>
        <w:pStyle w:val="ECHRPara"/>
      </w:pPr>
      <w:fldSimple w:instr=" SEQ level0 \*arabic ">
        <w:r>
          <w:rPr>
            <w:noProof/>
          </w:rPr>
          <w:t>37</w:t>
        </w:r>
      </w:fldSimple>
      <w:r w:rsidRPr="00685582">
        <w:t>.  </w:t>
      </w:r>
      <w:r>
        <w:t>Justificatifs à l’appui, les requérants</w:t>
      </w:r>
      <w:r w:rsidRPr="00685582">
        <w:t xml:space="preserve"> réclament </w:t>
      </w:r>
      <w:r>
        <w:t>en premier lieu 532 951</w:t>
      </w:r>
      <w:r w:rsidRPr="00685582">
        <w:t xml:space="preserve"> euros (EUR) </w:t>
      </w:r>
      <w:r>
        <w:t xml:space="preserve">chacun </w:t>
      </w:r>
      <w:r w:rsidRPr="00685582">
        <w:t>au titre du préjudice matériel qu</w:t>
      </w:r>
      <w:r>
        <w:t>’</w:t>
      </w:r>
      <w:r w:rsidRPr="00685582">
        <w:t xml:space="preserve">ils auraient </w:t>
      </w:r>
      <w:r>
        <w:t>subi jusqu’au 31 décembre 2008.</w:t>
      </w:r>
    </w:p>
    <w:p w:rsidR="00CF7619" w:rsidRDefault="00CF7619" w:rsidP="009E2D52">
      <w:pPr>
        <w:pStyle w:val="ECHRPara"/>
      </w:pPr>
      <w:r>
        <w:t>S’y ajouteraient, pour les années suivantes, 1 000 000 EUR pour le premier requérant, 950 000 EUR pour le deuxième requérant et 800 000 EUR pour le troisième requérant, aucune explication n’étant toutefois fournie quant au calcul par lequel les requérants parviendraient à ces montants.</w:t>
      </w:r>
    </w:p>
    <w:p w:rsidR="00CF7619" w:rsidRPr="00685582" w:rsidRDefault="00CF7619" w:rsidP="009E2D52">
      <w:pPr>
        <w:pStyle w:val="ECHRPara"/>
      </w:pPr>
      <w:r>
        <w:t>Ils réclament enfin 550 000 euros chacun pour dommage moral.</w:t>
      </w:r>
    </w:p>
    <w:p w:rsidR="00CF7619" w:rsidRPr="00685582" w:rsidRDefault="00CF7619" w:rsidP="00B33C50">
      <w:pPr>
        <w:pStyle w:val="ECHRPara"/>
        <w:outlineLvl w:val="0"/>
      </w:pPr>
      <w:fldSimple w:instr=" SEQ level0 \*arabic ">
        <w:r>
          <w:rPr>
            <w:noProof/>
          </w:rPr>
          <w:t>38</w:t>
        </w:r>
      </w:fldSimple>
      <w:r w:rsidRPr="00685582">
        <w:t xml:space="preserve">.  Le </w:t>
      </w:r>
      <w:r>
        <w:t xml:space="preserve">Gouvernement s’oppose à ces prétentions. Il expose qu’il s’agit de montants établis sans paramètres réels et qui ne prennent pas en compte les hausses de rétribution prévues par la nouvelle loi et dont les requérants vont jouir, puisqu’elles sont </w:t>
      </w:r>
      <w:r w:rsidRPr="00430F0B">
        <w:t>d</w:t>
      </w:r>
      <w:r>
        <w:t>’</w:t>
      </w:r>
      <w:r w:rsidRPr="00430F0B">
        <w:t>application générale</w:t>
      </w:r>
      <w:r>
        <w:t>.</w:t>
      </w:r>
    </w:p>
    <w:p w:rsidR="00CF7619" w:rsidRDefault="00CF7619" w:rsidP="009E2D52">
      <w:pPr>
        <w:pStyle w:val="ECHRPara"/>
      </w:pPr>
      <w:fldSimple w:instr=" SEQ level0 \*arabic ">
        <w:r>
          <w:rPr>
            <w:noProof/>
          </w:rPr>
          <w:t>39</w:t>
        </w:r>
      </w:fldSimple>
      <w:r w:rsidRPr="000A2730">
        <w:t>. </w:t>
      </w:r>
      <w:r>
        <w:t> </w:t>
      </w:r>
      <w:r w:rsidRPr="000A2730">
        <w:t>La Cour relève que la seule base à retenir pour l</w:t>
      </w:r>
      <w:r>
        <w:t>’</w:t>
      </w:r>
      <w:r w:rsidRPr="000A2730">
        <w:t>octroi d</w:t>
      </w:r>
      <w:r>
        <w:t>’</w:t>
      </w:r>
      <w:r w:rsidRPr="000A2730">
        <w:t>une satisfaction équitable réside en l</w:t>
      </w:r>
      <w:r>
        <w:t>’</w:t>
      </w:r>
      <w:r w:rsidRPr="000A2730">
        <w:t>espèce dans le fait que les requérants n</w:t>
      </w:r>
      <w:r>
        <w:t>’</w:t>
      </w:r>
      <w:r w:rsidRPr="000A2730">
        <w:t>ont pu jouir des garanties de l</w:t>
      </w:r>
      <w:r>
        <w:t>’</w:t>
      </w:r>
      <w:r w:rsidRPr="000A2730">
        <w:t>article 6 § 1 de la Convention.</w:t>
      </w:r>
    </w:p>
    <w:p w:rsidR="00CF7619" w:rsidRDefault="00CF7619" w:rsidP="009E2D52">
      <w:pPr>
        <w:pStyle w:val="ECHRPara"/>
      </w:pPr>
      <w:r>
        <w:t>Sans qu’il y ait lieu de</w:t>
      </w:r>
      <w:r w:rsidRPr="000A2730">
        <w:t xml:space="preserve"> spéculer sur ce qu</w:t>
      </w:r>
      <w:r>
        <w:t>’</w:t>
      </w:r>
      <w:r w:rsidRPr="000A2730">
        <w:t>eût été l</w:t>
      </w:r>
      <w:r>
        <w:t>’</w:t>
      </w:r>
      <w:r w:rsidRPr="000A2730">
        <w:t xml:space="preserve">issue du procès dans le cas contraire, </w:t>
      </w:r>
      <w:r>
        <w:t>la Cour</w:t>
      </w:r>
      <w:r w:rsidRPr="000A2730">
        <w:t xml:space="preserve"> n</w:t>
      </w:r>
      <w:r>
        <w:t>’</w:t>
      </w:r>
      <w:r w:rsidRPr="000A2730">
        <w:t xml:space="preserve">estime pas déraisonnable de penser que les intéressés ont subi une perte de chances réelle (voir, notamment, </w:t>
      </w:r>
      <w:r w:rsidRPr="000A2730">
        <w:rPr>
          <w:i/>
          <w:iCs/>
        </w:rPr>
        <w:t>Zielinski et Pradal et Gonzalez et autres</w:t>
      </w:r>
      <w:r w:rsidRPr="000A2730">
        <w:t xml:space="preserve">, précité, § 79 ; </w:t>
      </w:r>
      <w:r w:rsidRPr="000A2730">
        <w:rPr>
          <w:i/>
          <w:iCs/>
        </w:rPr>
        <w:t>Lecarpentier c. France</w:t>
      </w:r>
      <w:r w:rsidRPr="000A2730">
        <w:t xml:space="preserve">, n  67847/01, 14 février 2006, § 61 ; </w:t>
      </w:r>
      <w:r w:rsidRPr="000A2730">
        <w:rPr>
          <w:i/>
          <w:iCs/>
        </w:rPr>
        <w:t xml:space="preserve">Arras et autres c. Italie </w:t>
      </w:r>
      <w:r>
        <w:t>n</w:t>
      </w:r>
      <w:r w:rsidRPr="00BC3E51">
        <w:rPr>
          <w:vertAlign w:val="superscript"/>
        </w:rPr>
        <w:t>o</w:t>
      </w:r>
      <w:r w:rsidRPr="000A2730">
        <w:t>17972/07, 14</w:t>
      </w:r>
      <w:r>
        <w:t> </w:t>
      </w:r>
      <w:r w:rsidRPr="000A2730">
        <w:t>février 2012 § 88). Elle tient à souligner qu</w:t>
      </w:r>
      <w:r>
        <w:t>’</w:t>
      </w:r>
      <w:r w:rsidRPr="000A2730">
        <w:t>en l</w:t>
      </w:r>
      <w:r>
        <w:t>’</w:t>
      </w:r>
      <w:r w:rsidRPr="000A2730">
        <w:t>espèce la jurisprudence était, avant l</w:t>
      </w:r>
      <w:r>
        <w:t>’</w:t>
      </w:r>
      <w:r w:rsidRPr="000A2730">
        <w:t xml:space="preserve">adoption de la loi litigieuse, favorable à la position des requérants. </w:t>
      </w:r>
      <w:r w:rsidRPr="006574C9">
        <w:t>Ainsi, si aucune violation de la Convention ne s</w:t>
      </w:r>
      <w:r>
        <w:t>’</w:t>
      </w:r>
      <w:r w:rsidRPr="006574C9">
        <w:t>était produite, la situation des requérants aurait vraisemblablement été différente, dès lors qu</w:t>
      </w:r>
      <w:r>
        <w:t>’</w:t>
      </w:r>
      <w:r w:rsidRPr="006574C9">
        <w:t xml:space="preserve">ils auraient pu se voir reconnaître </w:t>
      </w:r>
      <w:r>
        <w:t xml:space="preserve">le droit à </w:t>
      </w:r>
      <w:r w:rsidRPr="006574C9">
        <w:t>l</w:t>
      </w:r>
      <w:r>
        <w:t>’</w:t>
      </w:r>
      <w:r w:rsidRPr="006574C9">
        <w:t>ajustement de leur salaire.</w:t>
      </w:r>
      <w:r w:rsidRPr="000A2730">
        <w:t xml:space="preserve"> Partant, la Cour </w:t>
      </w:r>
      <w:r>
        <w:t>retient</w:t>
      </w:r>
      <w:r w:rsidRPr="000A2730">
        <w:t xml:space="preserve"> que la violation de la Convention constatée en l</w:t>
      </w:r>
      <w:r>
        <w:t>’</w:t>
      </w:r>
      <w:r w:rsidRPr="000A2730">
        <w:t xml:space="preserve">espèce est </w:t>
      </w:r>
      <w:r>
        <w:t xml:space="preserve">bien </w:t>
      </w:r>
      <w:r w:rsidRPr="000A2730">
        <w:t>susceptible d</w:t>
      </w:r>
      <w:r>
        <w:t>’</w:t>
      </w:r>
      <w:r w:rsidRPr="000A2730">
        <w:t>avoir causé aux requérants un dommage matériel.</w:t>
      </w:r>
    </w:p>
    <w:p w:rsidR="00CF7619" w:rsidRDefault="00CF7619" w:rsidP="00C04BD9">
      <w:pPr>
        <w:pStyle w:val="ECHRPara"/>
      </w:pPr>
      <w:fldSimple w:instr=" SEQ level0 \*arabic ">
        <w:r>
          <w:rPr>
            <w:noProof/>
          </w:rPr>
          <w:t>40</w:t>
        </w:r>
      </w:fldSimple>
      <w:r>
        <w:t>.  S’</w:t>
      </w:r>
      <w:r w:rsidRPr="00C04BD9">
        <w:t xml:space="preserve">agissant de la période </w:t>
      </w:r>
      <w:r>
        <w:t>postérieure à l’année 2008</w:t>
      </w:r>
      <w:r w:rsidRPr="00C04BD9">
        <w:t>, la Cour constate que le montant des pertes est nécessairement hypothétique puisqu</w:t>
      </w:r>
      <w:r>
        <w:t>’</w:t>
      </w:r>
      <w:r w:rsidRPr="00C04BD9">
        <w:t xml:space="preserve">il dépend notamment de </w:t>
      </w:r>
      <w:r>
        <w:t>paramètres</w:t>
      </w:r>
      <w:r w:rsidRPr="00C04BD9">
        <w:t xml:space="preserve"> non connus</w:t>
      </w:r>
      <w:r>
        <w:t>,</w:t>
      </w:r>
      <w:r w:rsidRPr="00C04BD9">
        <w:t xml:space="preserve"> au sujet desquels la Cour ne peut pas se livrer à des spéculations. Ces questions devraient être réservées, le cas échéant, à la compétence des juridictions nationales.</w:t>
      </w:r>
    </w:p>
    <w:p w:rsidR="00CF7619" w:rsidRPr="00C04BD9" w:rsidRDefault="00CF7619" w:rsidP="00C04BD9">
      <w:pPr>
        <w:pStyle w:val="ECHRPara"/>
      </w:pPr>
      <w:fldSimple w:instr=" SEQ level0 \*arabic ">
        <w:r>
          <w:rPr>
            <w:noProof/>
          </w:rPr>
          <w:t>41</w:t>
        </w:r>
      </w:fldSimple>
      <w:r w:rsidRPr="00C04BD9">
        <w:t xml:space="preserve">.  Compte tenu de ce qui précède et de sa jurisprudence en la matière, la Cour alloue </w:t>
      </w:r>
      <w:r>
        <w:t xml:space="preserve">87 000 EUR au premier requérant, 104 000 EUR au deuxième requérant et 95 000 EUR au troisième requérant </w:t>
      </w:r>
      <w:r w:rsidRPr="00C04BD9">
        <w:t>au titre du préjudice matériel</w:t>
      </w:r>
      <w:r>
        <w:t>.</w:t>
      </w:r>
    </w:p>
    <w:p w:rsidR="00CF7619" w:rsidRPr="00465719" w:rsidRDefault="00CF7619" w:rsidP="009E2D52">
      <w:pPr>
        <w:pStyle w:val="ECHRPara"/>
      </w:pPr>
      <w:fldSimple w:instr=" SEQ level0 \*arabic ">
        <w:r>
          <w:rPr>
            <w:noProof/>
          </w:rPr>
          <w:t>42</w:t>
        </w:r>
      </w:fldSimple>
      <w:r>
        <w:t>.  </w:t>
      </w:r>
      <w:r w:rsidRPr="00465719">
        <w:t xml:space="preserve"> Quant au dommage moral, la Cour estime que le constat de violation auquel elle est parvenue constitue en soi une satisfaction équitable pour le préjudice </w:t>
      </w:r>
      <w:r>
        <w:t>moral subi par les requérants.</w:t>
      </w:r>
    </w:p>
    <w:p w:rsidR="00CF7619" w:rsidRPr="000A2730" w:rsidRDefault="00CF7619" w:rsidP="00B33C50">
      <w:pPr>
        <w:pStyle w:val="ECHRHeading2"/>
        <w:outlineLvl w:val="0"/>
      </w:pPr>
      <w:r w:rsidRPr="000A2730">
        <w:t>B.  Frais et dépens</w:t>
      </w:r>
    </w:p>
    <w:p w:rsidR="00CF7619" w:rsidRPr="000A2730" w:rsidRDefault="00CF7619" w:rsidP="009E2D52">
      <w:pPr>
        <w:pStyle w:val="ECHRPara"/>
      </w:pPr>
      <w:fldSimple w:instr=" SEQ level0 \*arabic ">
        <w:r>
          <w:rPr>
            <w:noProof/>
          </w:rPr>
          <w:t>43</w:t>
        </w:r>
      </w:fldSimple>
      <w:r w:rsidRPr="000A2730">
        <w:t>.  Sans justificatif à l</w:t>
      </w:r>
      <w:r>
        <w:t>’</w:t>
      </w:r>
      <w:r w:rsidRPr="000A2730">
        <w:t>appui, les requérants demandent également 79 810,72</w:t>
      </w:r>
      <w:r>
        <w:t xml:space="preserve"> </w:t>
      </w:r>
      <w:r w:rsidRPr="000A2730">
        <w:t>EUR pour les frais et dépens engagés devant la Cour.</w:t>
      </w:r>
    </w:p>
    <w:p w:rsidR="00CF7619" w:rsidRPr="000A2730" w:rsidRDefault="00CF7619" w:rsidP="009E2D52">
      <w:pPr>
        <w:pStyle w:val="ECHRPara"/>
      </w:pPr>
      <w:fldSimple w:instr=" SEQ level0 \*arabic ">
        <w:r>
          <w:rPr>
            <w:noProof/>
          </w:rPr>
          <w:t>44</w:t>
        </w:r>
      </w:fldSimple>
      <w:r w:rsidRPr="000A2730">
        <w:t>.  La Cour note que la demande de remboursement des frais et dépens engagés devant la Cour n</w:t>
      </w:r>
      <w:r>
        <w:t>’</w:t>
      </w:r>
      <w:r w:rsidRPr="000A2730">
        <w:t xml:space="preserve">est pas suffisamment détaillée </w:t>
      </w:r>
      <w:r>
        <w:t>et</w:t>
      </w:r>
      <w:r w:rsidRPr="000A2730">
        <w:t xml:space="preserve"> ventilée par rubrique</w:t>
      </w:r>
      <w:r>
        <w:t>s</w:t>
      </w:r>
      <w:r w:rsidRPr="000A2730">
        <w:t xml:space="preserve"> ni accompagnée des justificatifs pertinents. </w:t>
      </w:r>
      <w:r>
        <w:t>Elle</w:t>
      </w:r>
      <w:r w:rsidRPr="000A2730">
        <w:t xml:space="preserve"> rejette donc la demande formulée par les requérants à ce titre.</w:t>
      </w:r>
    </w:p>
    <w:p w:rsidR="00CF7619" w:rsidRPr="000A2730" w:rsidRDefault="00CF7619" w:rsidP="00B33C50">
      <w:pPr>
        <w:pStyle w:val="ECHRHeading2"/>
        <w:outlineLvl w:val="0"/>
      </w:pPr>
      <w:r w:rsidRPr="000A2730">
        <w:t>C.  Intérêts moratoires</w:t>
      </w:r>
    </w:p>
    <w:p w:rsidR="00CF7619" w:rsidRPr="000A2730" w:rsidRDefault="00CF7619" w:rsidP="00922F45">
      <w:pPr>
        <w:pStyle w:val="ECHRPara"/>
      </w:pPr>
      <w:fldSimple w:instr=" SEQ level0 \*arabic ">
        <w:r>
          <w:rPr>
            <w:noProof/>
          </w:rPr>
          <w:t>45</w:t>
        </w:r>
      </w:fldSimple>
      <w:r w:rsidRPr="000A2730">
        <w:t>.  La Cour juge approprié de calquer le taux des intérêts moratoires sur le taux d</w:t>
      </w:r>
      <w:r>
        <w:t>’</w:t>
      </w:r>
      <w:r w:rsidRPr="000A2730">
        <w:t>intérêt de la facilité de prêt marginal de la Banque centrale européenne majoré de trois points de pourcentage.</w:t>
      </w:r>
    </w:p>
    <w:p w:rsidR="00CF7619" w:rsidRPr="000A2730" w:rsidRDefault="00CF7619" w:rsidP="00B33C50">
      <w:pPr>
        <w:pStyle w:val="ECHRTitle1"/>
      </w:pPr>
      <w:r w:rsidRPr="000A2730">
        <w:t>PAR CES MOTIFS, LA COUR</w:t>
      </w:r>
      <w:r>
        <w:t>,</w:t>
      </w:r>
    </w:p>
    <w:p w:rsidR="00CF7619" w:rsidRPr="000A2730" w:rsidRDefault="00CF7619" w:rsidP="009754B0">
      <w:pPr>
        <w:pStyle w:val="JuList"/>
      </w:pPr>
      <w:r w:rsidRPr="000A2730">
        <w:t>1.  </w:t>
      </w:r>
      <w:r w:rsidRPr="000A2730">
        <w:rPr>
          <w:i/>
        </w:rPr>
        <w:t>Déclare</w:t>
      </w:r>
      <w:r w:rsidRPr="000A2730">
        <w:t>, à l</w:t>
      </w:r>
      <w:r>
        <w:t xml:space="preserve">’unanimité, </w:t>
      </w:r>
      <w:r w:rsidRPr="000A2730">
        <w:t>la requête recevable ;</w:t>
      </w:r>
    </w:p>
    <w:p w:rsidR="00CF7619" w:rsidRPr="000A2730" w:rsidRDefault="00CF7619" w:rsidP="009754B0">
      <w:pPr>
        <w:pStyle w:val="JuList"/>
      </w:pPr>
    </w:p>
    <w:p w:rsidR="00CF7619" w:rsidRPr="000A2730" w:rsidRDefault="00CF7619" w:rsidP="009754B0">
      <w:pPr>
        <w:pStyle w:val="JuList"/>
      </w:pPr>
      <w:r w:rsidRPr="000A2730">
        <w:t>2.  </w:t>
      </w:r>
      <w:r w:rsidRPr="000A2730">
        <w:rPr>
          <w:i/>
        </w:rPr>
        <w:t>Dit</w:t>
      </w:r>
      <w:r>
        <w:t>,</w:t>
      </w:r>
      <w:r w:rsidRPr="000A2730">
        <w:t xml:space="preserve"> à l</w:t>
      </w:r>
      <w:r>
        <w:t>’</w:t>
      </w:r>
      <w:r w:rsidRPr="000A2730">
        <w:t>unanimité, qu</w:t>
      </w:r>
      <w:r>
        <w:t>’</w:t>
      </w:r>
      <w:r w:rsidRPr="000A2730">
        <w:t>il y a eu violation de l</w:t>
      </w:r>
      <w:r>
        <w:t>’</w:t>
      </w:r>
      <w:r w:rsidRPr="000A2730">
        <w:t>article 6 § 1 de la Convention ;</w:t>
      </w:r>
    </w:p>
    <w:p w:rsidR="00CF7619" w:rsidRPr="000A2730" w:rsidRDefault="00CF7619" w:rsidP="009754B0">
      <w:pPr>
        <w:pStyle w:val="JuList"/>
      </w:pPr>
    </w:p>
    <w:p w:rsidR="00CF7619" w:rsidRPr="000A2730" w:rsidRDefault="00CF7619" w:rsidP="009754B0">
      <w:pPr>
        <w:pStyle w:val="JuList"/>
      </w:pPr>
      <w:r w:rsidRPr="000A2730">
        <w:t>3.  </w:t>
      </w:r>
      <w:r w:rsidRPr="000A2730">
        <w:rPr>
          <w:i/>
        </w:rPr>
        <w:t>Dit</w:t>
      </w:r>
      <w:r>
        <w:rPr>
          <w:i/>
        </w:rPr>
        <w:t>,</w:t>
      </w:r>
      <w:r w:rsidRPr="000A2730">
        <w:t xml:space="preserve"> à l</w:t>
      </w:r>
      <w:r>
        <w:t>’</w:t>
      </w:r>
      <w:r w:rsidRPr="000A2730">
        <w:t>unanimité,</w:t>
      </w:r>
    </w:p>
    <w:p w:rsidR="00CF7619" w:rsidRPr="000A2730" w:rsidRDefault="00CF7619" w:rsidP="009754B0">
      <w:pPr>
        <w:pStyle w:val="JuLista"/>
      </w:pPr>
      <w:r w:rsidRPr="000A2730">
        <w:t>a)  que l</w:t>
      </w:r>
      <w:r>
        <w:t>’État</w:t>
      </w:r>
      <w:r w:rsidRPr="000A2730">
        <w:t xml:space="preserve"> défendeur doit verser aux requérants, dans les trois mois à compter du jour où l</w:t>
      </w:r>
      <w:r>
        <w:t>’</w:t>
      </w:r>
      <w:r w:rsidRPr="000A2730">
        <w:t xml:space="preserve">arrêt sera devenu définitif </w:t>
      </w:r>
      <w:r>
        <w:t>en vertu de</w:t>
      </w:r>
      <w:r w:rsidRPr="000A2730">
        <w:t xml:space="preserve"> l</w:t>
      </w:r>
      <w:r>
        <w:t>’</w:t>
      </w:r>
      <w:r w:rsidRPr="000A2730">
        <w:t>article 44 § 2 de la Convention, les sommes suivantes</w:t>
      </w:r>
      <w:r>
        <w:t>, augmentées de</w:t>
      </w:r>
      <w:r w:rsidRPr="00430F0B">
        <w:t xml:space="preserve"> tout montant pouvant être dû à titre d</w:t>
      </w:r>
      <w:r>
        <w:t>’</w:t>
      </w:r>
      <w:r w:rsidRPr="00430F0B">
        <w:t>impôt, pour dommage matériel</w:t>
      </w:r>
      <w:r w:rsidRPr="000A2730">
        <w:t> :</w:t>
      </w:r>
    </w:p>
    <w:p w:rsidR="00CF7619" w:rsidRDefault="00CF7619" w:rsidP="009754B0">
      <w:pPr>
        <w:pStyle w:val="JuListi"/>
        <w:rPr>
          <w:lang w:eastAsia="en-GB"/>
        </w:rPr>
      </w:pPr>
      <w:r w:rsidRPr="000A2730">
        <w:rPr>
          <w:lang w:eastAsia="en-GB"/>
        </w:rPr>
        <w:t>i)  </w:t>
      </w:r>
      <w:r>
        <w:rPr>
          <w:lang w:eastAsia="en-GB"/>
        </w:rPr>
        <w:t>87 000</w:t>
      </w:r>
      <w:r w:rsidRPr="000A2730">
        <w:rPr>
          <w:lang w:eastAsia="en-GB"/>
        </w:rPr>
        <w:t xml:space="preserve"> EUR (</w:t>
      </w:r>
      <w:r>
        <w:rPr>
          <w:lang w:eastAsia="en-GB"/>
        </w:rPr>
        <w:t xml:space="preserve">quatre-vingt-sept mille </w:t>
      </w:r>
      <w:r w:rsidRPr="000A2730">
        <w:rPr>
          <w:lang w:eastAsia="en-GB"/>
        </w:rPr>
        <w:t xml:space="preserve">euros) </w:t>
      </w:r>
      <w:r>
        <w:rPr>
          <w:lang w:eastAsia="en-GB"/>
        </w:rPr>
        <w:t>à M. Guadagno ;</w:t>
      </w:r>
    </w:p>
    <w:p w:rsidR="00CF7619" w:rsidRDefault="00CF7619" w:rsidP="009754B0">
      <w:pPr>
        <w:pStyle w:val="JuListi"/>
        <w:rPr>
          <w:lang w:eastAsia="en-GB"/>
        </w:rPr>
      </w:pPr>
      <w:r>
        <w:rPr>
          <w:lang w:eastAsia="en-GB"/>
        </w:rPr>
        <w:t>ii)</w:t>
      </w:r>
      <w:r w:rsidRPr="000A2730">
        <w:rPr>
          <w:lang w:eastAsia="en-GB"/>
        </w:rPr>
        <w:t>  </w:t>
      </w:r>
      <w:r>
        <w:rPr>
          <w:lang w:eastAsia="en-GB"/>
        </w:rPr>
        <w:t>104 000 EUR (cent quatre mille euros) à M. Minichini ;</w:t>
      </w:r>
    </w:p>
    <w:p w:rsidR="00CF7619" w:rsidRDefault="00CF7619" w:rsidP="009754B0">
      <w:pPr>
        <w:pStyle w:val="JuListi"/>
        <w:rPr>
          <w:lang w:eastAsia="en-GB"/>
        </w:rPr>
      </w:pPr>
      <w:r>
        <w:rPr>
          <w:lang w:eastAsia="en-GB"/>
        </w:rPr>
        <w:t>iii)</w:t>
      </w:r>
      <w:r w:rsidRPr="000A2730">
        <w:rPr>
          <w:lang w:eastAsia="en-GB"/>
        </w:rPr>
        <w:t>  </w:t>
      </w:r>
      <w:r>
        <w:rPr>
          <w:lang w:eastAsia="en-GB"/>
        </w:rPr>
        <w:t>95 000 EUR (quatre-vingt-quinze mille euros) à M. Portoghese</w:t>
      </w:r>
      <w:r w:rsidRPr="000A2730">
        <w:rPr>
          <w:lang w:eastAsia="en-GB"/>
        </w:rPr>
        <w:t> ;</w:t>
      </w:r>
    </w:p>
    <w:p w:rsidR="00CF7619" w:rsidRPr="00F91D9B" w:rsidRDefault="00CF7619" w:rsidP="009754B0">
      <w:pPr>
        <w:pStyle w:val="JuLista"/>
        <w:rPr>
          <w:lang w:eastAsia="en-GB"/>
        </w:rPr>
      </w:pPr>
    </w:p>
    <w:p w:rsidR="00CF7619" w:rsidRPr="000A2730" w:rsidRDefault="00CF7619" w:rsidP="009754B0">
      <w:pPr>
        <w:pStyle w:val="JuLista"/>
      </w:pPr>
      <w:r w:rsidRPr="000A2730">
        <w:t>b)  qu</w:t>
      </w:r>
      <w:r>
        <w:t>’</w:t>
      </w:r>
      <w:r w:rsidRPr="000A2730">
        <w:t>à compter de l</w:t>
      </w:r>
      <w:r>
        <w:t>’</w:t>
      </w:r>
      <w:r w:rsidRPr="000A2730">
        <w:t xml:space="preserve">expiration </w:t>
      </w:r>
      <w:r>
        <w:t>de ce</w:t>
      </w:r>
      <w:r w:rsidRPr="000A2730">
        <w:t xml:space="preserve"> délai et jusqu</w:t>
      </w:r>
      <w:r>
        <w:t>’</w:t>
      </w:r>
      <w:r w:rsidRPr="000A2730">
        <w:t>au versement, ces montants seront à majorer d</w:t>
      </w:r>
      <w:r>
        <w:t>’</w:t>
      </w:r>
      <w:r w:rsidRPr="000A2730">
        <w:t>un intérêt simple à un taux égal à celui de la facilité de prêt marginal de la Banque centrale européenne applicable pendant cette période, augmenté de trois points de pourcentage ;</w:t>
      </w:r>
    </w:p>
    <w:p w:rsidR="00CF7619" w:rsidRPr="000A2730" w:rsidRDefault="00CF7619" w:rsidP="009754B0">
      <w:pPr>
        <w:pStyle w:val="JuLista"/>
      </w:pPr>
    </w:p>
    <w:p w:rsidR="00CF7619" w:rsidRPr="000A2730" w:rsidRDefault="00CF7619" w:rsidP="009754B0">
      <w:pPr>
        <w:pStyle w:val="JuList"/>
      </w:pPr>
      <w:r>
        <w:t>4</w:t>
      </w:r>
      <w:r w:rsidRPr="000A2730">
        <w:t>.  </w:t>
      </w:r>
      <w:r w:rsidRPr="000A2730">
        <w:rPr>
          <w:i/>
        </w:rPr>
        <w:t>Rejette</w:t>
      </w:r>
      <w:r w:rsidRPr="000A2730">
        <w:t xml:space="preserve">, </w:t>
      </w:r>
      <w:r>
        <w:t>par cinq voix contre deux</w:t>
      </w:r>
      <w:r>
        <w:rPr>
          <w:color w:val="000000"/>
          <w:lang w:eastAsia="en-GB"/>
        </w:rPr>
        <w:t>,</w:t>
      </w:r>
      <w:r>
        <w:t xml:space="preserve"> </w:t>
      </w:r>
      <w:r w:rsidRPr="000A2730">
        <w:t>la demande de satisfaction équitable pour le surplus.</w:t>
      </w:r>
    </w:p>
    <w:p w:rsidR="00CF7619" w:rsidRPr="005E099C" w:rsidRDefault="00CF7619" w:rsidP="009754B0">
      <w:pPr>
        <w:pStyle w:val="ECHRPara"/>
      </w:pPr>
    </w:p>
    <w:p w:rsidR="00CF7619" w:rsidRPr="00685582" w:rsidRDefault="00CF7619" w:rsidP="00560B55">
      <w:pPr>
        <w:pStyle w:val="JuParaLast"/>
      </w:pPr>
      <w:r w:rsidRPr="000A2730">
        <w:t>Fait en français, puis co</w:t>
      </w:r>
      <w:r>
        <w:t>mmuniqué par écrit le 1</w:t>
      </w:r>
      <w:r w:rsidRPr="00F97FF1">
        <w:rPr>
          <w:vertAlign w:val="superscript"/>
        </w:rPr>
        <w:t>er</w:t>
      </w:r>
      <w:r>
        <w:t xml:space="preserve"> juillet 2014</w:t>
      </w:r>
      <w:r w:rsidRPr="00685582">
        <w:t>, en application de l</w:t>
      </w:r>
      <w:r>
        <w:t>’</w:t>
      </w:r>
      <w:r w:rsidRPr="00685582">
        <w:t>article 77 §§ 2 et 3 du règlement.</w:t>
      </w:r>
    </w:p>
    <w:p w:rsidR="00CF7619" w:rsidRDefault="00CF7619" w:rsidP="0009234F">
      <w:pPr>
        <w:pStyle w:val="JuSigned"/>
        <w:keepNext/>
        <w:keepLines/>
      </w:pPr>
      <w:r w:rsidRPr="00685582">
        <w:tab/>
      </w:r>
      <w:r>
        <w:t>Abel Campos</w:t>
      </w:r>
      <w:r w:rsidRPr="00685582">
        <w:tab/>
      </w:r>
      <w:r>
        <w:rPr>
          <w:szCs w:val="24"/>
        </w:rPr>
        <w:t>Işıl</w:t>
      </w:r>
      <w:r w:rsidRPr="00AB67FF">
        <w:rPr>
          <w:szCs w:val="24"/>
        </w:rPr>
        <w:t xml:space="preserve"> </w:t>
      </w:r>
      <w:r>
        <w:rPr>
          <w:szCs w:val="24"/>
        </w:rPr>
        <w:t>Karakaş</w:t>
      </w:r>
      <w:r w:rsidRPr="00685582">
        <w:br/>
      </w:r>
      <w:r w:rsidRPr="00685582">
        <w:tab/>
        <w:t>Greffier</w:t>
      </w:r>
      <w:r>
        <w:t xml:space="preserve"> adjoint</w:t>
      </w:r>
      <w:r w:rsidRPr="00685582">
        <w:tab/>
      </w:r>
      <w:r w:rsidRPr="00AB67FF">
        <w:t>Présidente</w:t>
      </w:r>
    </w:p>
    <w:p w:rsidR="00CF7619" w:rsidRDefault="00CF7619" w:rsidP="002C58DF">
      <w:pPr>
        <w:pStyle w:val="JuParaLast"/>
      </w:pPr>
    </w:p>
    <w:p w:rsidR="00CF7619" w:rsidRPr="00167801" w:rsidRDefault="00CF7619" w:rsidP="002B3A44">
      <w:pPr>
        <w:pStyle w:val="JuParaLast"/>
      </w:pPr>
      <w:r w:rsidRPr="00167801">
        <w:t>Au présent arrêt se trouve joint, conformément aux articles 45 § 2 de la Convention et 74 § 2 du règlement, l</w:t>
      </w:r>
      <w:r>
        <w:t>’</w:t>
      </w:r>
      <w:r w:rsidRPr="00167801">
        <w:t>exposé de l</w:t>
      </w:r>
      <w:r>
        <w:t>’</w:t>
      </w:r>
      <w:r w:rsidRPr="00167801">
        <w:t>opinion séparée des juges </w:t>
      </w:r>
      <w:r w:rsidRPr="00F97FF1">
        <w:t>Lemmens</w:t>
      </w:r>
      <w:r>
        <w:t xml:space="preserve"> et </w:t>
      </w:r>
      <w:r w:rsidRPr="00F97FF1">
        <w:t>Kūris</w:t>
      </w:r>
      <w:r w:rsidRPr="00167801">
        <w:t>.</w:t>
      </w:r>
    </w:p>
    <w:p w:rsidR="00CF7619" w:rsidRDefault="00CF7619" w:rsidP="002C58DF">
      <w:pPr>
        <w:pStyle w:val="JuInitialled"/>
      </w:pPr>
      <w:r>
        <w:t>A.I.K.</w:t>
      </w:r>
      <w:r w:rsidRPr="00167801">
        <w:br/>
      </w:r>
      <w:r>
        <w:t>A.C.</w:t>
      </w:r>
    </w:p>
    <w:p w:rsidR="00CF7619" w:rsidRDefault="00CF7619" w:rsidP="002C58DF">
      <w:pPr>
        <w:pStyle w:val="JuInitialled"/>
      </w:pPr>
    </w:p>
    <w:p w:rsidR="00CF7619" w:rsidRDefault="00CF7619" w:rsidP="00D406CC">
      <w:pPr>
        <w:keepNext/>
        <w:keepLines/>
        <w:spacing w:after="240"/>
        <w:outlineLvl w:val="0"/>
        <w:rPr>
          <w:rFonts w:eastAsia="Times New Roman"/>
          <w:sz w:val="28"/>
          <w:lang w:val="fr-FR" w:eastAsia="fr-FR"/>
        </w:rPr>
        <w:sectPr w:rsidR="00CF7619" w:rsidSect="00F97FF1">
          <w:headerReference w:type="even" r:id="rId14"/>
          <w:headerReference w:type="default" r:id="rId15"/>
          <w:pgSz w:w="11906" w:h="16838" w:code="9"/>
          <w:pgMar w:top="1418" w:right="2268" w:bottom="1418" w:left="2268" w:header="1701" w:footer="720" w:gutter="0"/>
          <w:pgNumType w:start="1"/>
          <w:cols w:space="720"/>
          <w:docGrid w:linePitch="326"/>
        </w:sectPr>
      </w:pPr>
    </w:p>
    <w:p w:rsidR="00CF7619" w:rsidRDefault="00CF7619" w:rsidP="002C58DF">
      <w:pPr>
        <w:keepNext/>
        <w:keepLines/>
        <w:spacing w:after="240"/>
        <w:jc w:val="center"/>
        <w:outlineLvl w:val="0"/>
        <w:rPr>
          <w:rFonts w:eastAsia="Times New Roman"/>
          <w:sz w:val="28"/>
          <w:lang w:val="fr-FR" w:eastAsia="fr-FR"/>
        </w:rPr>
      </w:pPr>
    </w:p>
    <w:p w:rsidR="00CF7619" w:rsidRPr="002C58DF" w:rsidRDefault="00CF7619" w:rsidP="002C58DF">
      <w:pPr>
        <w:keepNext/>
        <w:keepLines/>
        <w:spacing w:after="240"/>
        <w:jc w:val="center"/>
        <w:outlineLvl w:val="0"/>
        <w:rPr>
          <w:rFonts w:eastAsia="Times New Roman"/>
          <w:sz w:val="28"/>
          <w:lang w:val="fr-FR" w:eastAsia="fr-FR"/>
        </w:rPr>
      </w:pPr>
      <w:r w:rsidRPr="002C58DF">
        <w:rPr>
          <w:sz w:val="28"/>
          <w:lang w:val="fr-FR" w:eastAsia="fr-FR"/>
        </w:rPr>
        <w:t>OPINION PARTIELLEMENT DISSIDENTE DES JUGES LEMMENS ET KŪRIS</w:t>
      </w:r>
    </w:p>
    <w:p w:rsidR="00CF7619" w:rsidRPr="002C58DF" w:rsidRDefault="00CF7619" w:rsidP="002C58DF">
      <w:pPr>
        <w:ind w:firstLine="284"/>
        <w:rPr>
          <w:rFonts w:eastAsia="Times New Roman"/>
          <w:lang w:val="fr-FR" w:eastAsia="fr-FR"/>
        </w:rPr>
      </w:pPr>
      <w:r w:rsidRPr="002C58DF">
        <w:rPr>
          <w:rFonts w:eastAsia="Times New Roman"/>
          <w:lang w:val="fr-FR" w:eastAsia="fr-FR"/>
        </w:rPr>
        <w:t>1.  Nous sommes d</w:t>
      </w:r>
      <w:r>
        <w:rPr>
          <w:rFonts w:eastAsia="Times New Roman"/>
          <w:lang w:val="fr-FR" w:eastAsia="fr-FR"/>
        </w:rPr>
        <w:t>’</w:t>
      </w:r>
      <w:r w:rsidRPr="002C58DF">
        <w:rPr>
          <w:rFonts w:eastAsia="Times New Roman"/>
          <w:lang w:val="fr-FR" w:eastAsia="fr-FR"/>
        </w:rPr>
        <w:t>accord avec nos collègues pour conclure qu</w:t>
      </w:r>
      <w:r>
        <w:rPr>
          <w:rFonts w:eastAsia="Times New Roman"/>
          <w:lang w:val="fr-FR" w:eastAsia="fr-FR"/>
        </w:rPr>
        <w:t>’</w:t>
      </w:r>
      <w:r w:rsidRPr="002C58DF">
        <w:rPr>
          <w:rFonts w:eastAsia="Times New Roman"/>
          <w:lang w:val="fr-FR" w:eastAsia="fr-FR"/>
        </w:rPr>
        <w:t>il y a eu violation de l</w:t>
      </w:r>
      <w:r>
        <w:rPr>
          <w:rFonts w:eastAsia="Times New Roman"/>
          <w:lang w:val="fr-FR" w:eastAsia="fr-FR"/>
        </w:rPr>
        <w:t>’</w:t>
      </w:r>
      <w:r w:rsidRPr="002C58DF">
        <w:rPr>
          <w:rFonts w:eastAsia="Times New Roman"/>
          <w:lang w:val="fr-FR" w:eastAsia="fr-FR"/>
        </w:rPr>
        <w:t>article 6 § 1 de la Convention.</w:t>
      </w:r>
      <w:r w:rsidRPr="002C58DF">
        <w:rPr>
          <w:rFonts w:eastAsia="Times New Roman"/>
          <w:vertAlign w:val="superscript"/>
          <w:lang w:val="fr-FR" w:eastAsia="fr-FR"/>
        </w:rPr>
        <w:footnoteReference w:id="1"/>
      </w:r>
      <w:r w:rsidRPr="002C58DF">
        <w:rPr>
          <w:rFonts w:eastAsia="Times New Roman"/>
          <w:lang w:val="fr-FR" w:eastAsia="fr-FR"/>
        </w:rPr>
        <w:t xml:space="preserve"> À notre regret, nous ne pouvons toutefois nous rallier à la position de la majorité en ce qui concerne la satisfaction équitable à accorder aux requérants.</w:t>
      </w:r>
    </w:p>
    <w:p w:rsidR="00CF7619" w:rsidRPr="002C58DF" w:rsidRDefault="00CF7619" w:rsidP="002C58DF">
      <w:pPr>
        <w:ind w:firstLine="284"/>
        <w:rPr>
          <w:rFonts w:eastAsia="Times New Roman"/>
          <w:lang w:val="fr-FR" w:eastAsia="fr-FR"/>
        </w:rPr>
      </w:pPr>
    </w:p>
    <w:p w:rsidR="00CF7619" w:rsidRPr="002C58DF" w:rsidRDefault="00CF7619" w:rsidP="002C58DF">
      <w:pPr>
        <w:ind w:firstLine="284"/>
        <w:rPr>
          <w:rFonts w:eastAsia="Times New Roman"/>
          <w:lang w:val="fr-FR" w:eastAsia="fr-FR"/>
        </w:rPr>
      </w:pPr>
      <w:r w:rsidRPr="002C58DF">
        <w:rPr>
          <w:rFonts w:eastAsia="Times New Roman"/>
          <w:lang w:val="fr-FR" w:eastAsia="fr-FR"/>
        </w:rPr>
        <w:t>2.  La majorité estime, quant au préjudice matériel, que les requérants « ont subi une perte de chances réelle », et que, « si aucune violation de la Convention ne s</w:t>
      </w:r>
      <w:r>
        <w:rPr>
          <w:rFonts w:eastAsia="Times New Roman"/>
          <w:lang w:val="fr-FR" w:eastAsia="fr-FR"/>
        </w:rPr>
        <w:t>’</w:t>
      </w:r>
      <w:r w:rsidRPr="002C58DF">
        <w:rPr>
          <w:rFonts w:eastAsia="Times New Roman"/>
          <w:lang w:val="fr-FR" w:eastAsia="fr-FR"/>
        </w:rPr>
        <w:t>était produite,[leur] situation aurait vraisemblablement été différente, dès lors qu</w:t>
      </w:r>
      <w:r>
        <w:rPr>
          <w:rFonts w:eastAsia="Times New Roman"/>
          <w:lang w:val="fr-FR" w:eastAsia="fr-FR"/>
        </w:rPr>
        <w:t>’</w:t>
      </w:r>
      <w:r w:rsidRPr="002C58DF">
        <w:rPr>
          <w:rFonts w:eastAsia="Times New Roman"/>
          <w:lang w:val="fr-FR" w:eastAsia="fr-FR"/>
        </w:rPr>
        <w:t>ils auraient pu se voir reconnaître le droit à l</w:t>
      </w:r>
      <w:r>
        <w:rPr>
          <w:rFonts w:eastAsia="Times New Roman"/>
          <w:lang w:val="fr-FR" w:eastAsia="fr-FR"/>
        </w:rPr>
        <w:t>’</w:t>
      </w:r>
      <w:r w:rsidRPr="002C58DF">
        <w:rPr>
          <w:rFonts w:eastAsia="Times New Roman"/>
          <w:lang w:val="fr-FR" w:eastAsia="fr-FR"/>
        </w:rPr>
        <w:t>ajustement de leur salaire » (paragraphe 39 de l</w:t>
      </w:r>
      <w:r>
        <w:rPr>
          <w:rFonts w:eastAsia="Times New Roman"/>
          <w:lang w:val="fr-FR" w:eastAsia="fr-FR"/>
        </w:rPr>
        <w:t>’</w:t>
      </w:r>
      <w:r w:rsidRPr="002C58DF">
        <w:rPr>
          <w:rFonts w:eastAsia="Times New Roman"/>
          <w:lang w:val="fr-FR" w:eastAsia="fr-FR"/>
        </w:rPr>
        <w:t>arrêt).</w:t>
      </w:r>
    </w:p>
    <w:p w:rsidR="00CF7619" w:rsidRPr="002C58DF" w:rsidRDefault="00CF7619" w:rsidP="002C58DF">
      <w:pPr>
        <w:ind w:firstLine="284"/>
        <w:rPr>
          <w:rFonts w:eastAsia="Times New Roman"/>
          <w:lang w:val="fr-FR" w:eastAsia="fr-FR"/>
        </w:rPr>
      </w:pPr>
    </w:p>
    <w:p w:rsidR="00CF7619" w:rsidRPr="002C58DF" w:rsidRDefault="00CF7619" w:rsidP="002C58DF">
      <w:pPr>
        <w:ind w:firstLine="284"/>
        <w:rPr>
          <w:rFonts w:eastAsia="Times New Roman"/>
          <w:lang w:val="fr-FR" w:eastAsia="fr-FR"/>
        </w:rPr>
      </w:pPr>
      <w:r w:rsidRPr="002C58DF">
        <w:rPr>
          <w:rFonts w:eastAsia="Times New Roman"/>
          <w:lang w:val="fr-FR" w:eastAsia="fr-FR"/>
        </w:rPr>
        <w:t>3.  À notre avis, les requérants n</w:t>
      </w:r>
      <w:r>
        <w:rPr>
          <w:rFonts w:eastAsia="Times New Roman"/>
          <w:lang w:val="fr-FR" w:eastAsia="fr-FR"/>
        </w:rPr>
        <w:t>’</w:t>
      </w:r>
      <w:r w:rsidRPr="002C58DF">
        <w:rPr>
          <w:rFonts w:eastAsia="Times New Roman"/>
          <w:lang w:val="fr-FR" w:eastAsia="fr-FR"/>
        </w:rPr>
        <w:t>ont pas seulement perdu des « chances ». Ils ont perdu le bénéfice d</w:t>
      </w:r>
      <w:r>
        <w:rPr>
          <w:rFonts w:eastAsia="Times New Roman"/>
          <w:lang w:val="fr-FR" w:eastAsia="fr-FR"/>
        </w:rPr>
        <w:t>’</w:t>
      </w:r>
      <w:r w:rsidRPr="002C58DF">
        <w:rPr>
          <w:rFonts w:eastAsia="Times New Roman"/>
          <w:lang w:val="fr-FR" w:eastAsia="fr-FR"/>
        </w:rPr>
        <w:t>une décision judiciaire bien réelle, celle du tribunal administratif régional de Salerne du 6 décembre 1995, qui fit droit à leur demande et qui reconnut leur droit à l</w:t>
      </w:r>
      <w:r>
        <w:rPr>
          <w:rFonts w:eastAsia="Times New Roman"/>
          <w:lang w:val="fr-FR" w:eastAsia="fr-FR"/>
        </w:rPr>
        <w:t>’</w:t>
      </w:r>
      <w:r w:rsidRPr="002C58DF">
        <w:rPr>
          <w:rFonts w:eastAsia="Times New Roman"/>
          <w:lang w:val="fr-FR" w:eastAsia="fr-FR"/>
        </w:rPr>
        <w:t>ajustement de leur salaire. Ce jugement n</w:t>
      </w:r>
      <w:r>
        <w:rPr>
          <w:rFonts w:eastAsia="Times New Roman"/>
          <w:lang w:val="fr-FR" w:eastAsia="fr-FR"/>
        </w:rPr>
        <w:t>’</w:t>
      </w:r>
      <w:r w:rsidRPr="002C58DF">
        <w:rPr>
          <w:rFonts w:eastAsia="Times New Roman"/>
          <w:lang w:val="fr-FR" w:eastAsia="fr-FR"/>
        </w:rPr>
        <w:t>a pas été annulé. D</w:t>
      </w:r>
      <w:r>
        <w:rPr>
          <w:rFonts w:eastAsia="Times New Roman"/>
          <w:lang w:val="fr-FR" w:eastAsia="fr-FR"/>
        </w:rPr>
        <w:t>’</w:t>
      </w:r>
      <w:r w:rsidRPr="002C58DF">
        <w:rPr>
          <w:rFonts w:eastAsia="Times New Roman"/>
          <w:lang w:val="fr-FR" w:eastAsia="fr-FR"/>
        </w:rPr>
        <w:t>ailleurs, le recours du Conseil des ministres contre ce jugement a été rejeté (par l</w:t>
      </w:r>
      <w:r>
        <w:rPr>
          <w:rFonts w:eastAsia="Times New Roman"/>
          <w:lang w:val="fr-FR" w:eastAsia="fr-FR"/>
        </w:rPr>
        <w:t>’</w:t>
      </w:r>
      <w:r w:rsidRPr="002C58DF">
        <w:rPr>
          <w:rFonts w:eastAsia="Times New Roman"/>
          <w:lang w:val="fr-FR" w:eastAsia="fr-FR"/>
        </w:rPr>
        <w:t>arrêt du Conseil d</w:t>
      </w:r>
      <w:r>
        <w:rPr>
          <w:rFonts w:eastAsia="Times New Roman"/>
          <w:lang w:val="fr-FR" w:eastAsia="fr-FR"/>
        </w:rPr>
        <w:t>’</w:t>
      </w:r>
      <w:r w:rsidRPr="002C58DF">
        <w:rPr>
          <w:rFonts w:eastAsia="Times New Roman"/>
          <w:lang w:val="fr-FR" w:eastAsia="fr-FR"/>
        </w:rPr>
        <w:t>État du 6 mai 2006). Le jugement avait autorité de la chose jugée (« </w:t>
      </w:r>
      <w:r w:rsidRPr="002C58DF">
        <w:rPr>
          <w:rFonts w:eastAsia="Times New Roman"/>
          <w:i/>
          <w:iCs/>
          <w:lang w:val="fr-FR" w:eastAsia="fr-FR"/>
        </w:rPr>
        <w:t>cosa giudicata sostanziale</w:t>
      </w:r>
      <w:r w:rsidRPr="002C58DF">
        <w:rPr>
          <w:rFonts w:eastAsia="Times New Roman"/>
          <w:iCs/>
          <w:lang w:val="fr-FR" w:eastAsia="fr-FR"/>
        </w:rPr>
        <w:t> », selon l</w:t>
      </w:r>
      <w:r>
        <w:rPr>
          <w:rFonts w:eastAsia="Times New Roman"/>
          <w:iCs/>
          <w:lang w:val="fr-FR" w:eastAsia="fr-FR"/>
        </w:rPr>
        <w:t>’</w:t>
      </w:r>
      <w:r w:rsidRPr="002C58DF">
        <w:rPr>
          <w:rFonts w:eastAsia="Times New Roman"/>
          <w:iCs/>
          <w:lang w:val="fr-FR" w:eastAsia="fr-FR"/>
        </w:rPr>
        <w:t>article 2909 du code civil italien)</w:t>
      </w:r>
      <w:r w:rsidRPr="002C58DF">
        <w:rPr>
          <w:rFonts w:eastAsia="Times New Roman"/>
          <w:lang w:val="fr-FR" w:eastAsia="fr-FR"/>
        </w:rPr>
        <w:t>, et ce à quoi les requérants avaient droit était clair pour tout le monde.</w:t>
      </w:r>
    </w:p>
    <w:p w:rsidR="00CF7619" w:rsidRPr="002C58DF" w:rsidRDefault="00CF7619" w:rsidP="002C58DF">
      <w:pPr>
        <w:ind w:firstLine="284"/>
        <w:rPr>
          <w:rFonts w:eastAsia="Times New Roman"/>
          <w:iCs/>
          <w:lang w:val="fr-FR" w:eastAsia="fr-FR"/>
        </w:rPr>
      </w:pPr>
    </w:p>
    <w:p w:rsidR="00CF7619" w:rsidRPr="002C58DF" w:rsidRDefault="00CF7619" w:rsidP="002C58DF">
      <w:pPr>
        <w:ind w:firstLine="284"/>
        <w:rPr>
          <w:rFonts w:eastAsia="Times New Roman"/>
          <w:lang w:val="fr-FR" w:eastAsia="fr-FR"/>
        </w:rPr>
      </w:pPr>
      <w:r w:rsidRPr="002C58DF">
        <w:rPr>
          <w:rFonts w:eastAsia="Times New Roman"/>
          <w:iCs/>
          <w:lang w:val="fr-FR" w:eastAsia="fr-FR"/>
        </w:rPr>
        <w:t>4.  Toutefois, dans l</w:t>
      </w:r>
      <w:r>
        <w:rPr>
          <w:rFonts w:eastAsia="Times New Roman"/>
          <w:iCs/>
          <w:lang w:val="fr-FR" w:eastAsia="fr-FR"/>
        </w:rPr>
        <w:t>’</w:t>
      </w:r>
      <w:r w:rsidRPr="002C58DF">
        <w:rPr>
          <w:rFonts w:eastAsia="Times New Roman"/>
          <w:iCs/>
          <w:lang w:val="fr-FR" w:eastAsia="fr-FR"/>
        </w:rPr>
        <w:t>intervalle, le législateur était intervenu par l</w:t>
      </w:r>
      <w:r>
        <w:rPr>
          <w:rFonts w:eastAsia="Times New Roman"/>
          <w:iCs/>
          <w:lang w:val="fr-FR" w:eastAsia="fr-FR"/>
        </w:rPr>
        <w:t>’</w:t>
      </w:r>
      <w:r w:rsidRPr="002C58DF">
        <w:rPr>
          <w:rFonts w:eastAsia="Times New Roman"/>
          <w:iCs/>
          <w:lang w:val="fr-FR" w:eastAsia="fr-FR"/>
        </w:rPr>
        <w:t>adoption de l</w:t>
      </w:r>
      <w:r>
        <w:rPr>
          <w:rFonts w:eastAsia="Times New Roman"/>
          <w:iCs/>
          <w:lang w:val="fr-FR" w:eastAsia="fr-FR"/>
        </w:rPr>
        <w:t>’</w:t>
      </w:r>
      <w:r w:rsidRPr="002C58DF">
        <w:rPr>
          <w:rFonts w:eastAsia="Times New Roman"/>
          <w:iCs/>
          <w:lang w:val="fr-FR" w:eastAsia="fr-FR"/>
        </w:rPr>
        <w:t>article 50, alinéa 4, de la loi n</w:t>
      </w:r>
      <w:r w:rsidRPr="0012484C">
        <w:rPr>
          <w:rFonts w:eastAsia="Times New Roman"/>
          <w:iCs/>
          <w:vertAlign w:val="superscript"/>
          <w:lang w:val="fr-FR" w:eastAsia="fr-FR"/>
        </w:rPr>
        <w:t>o</w:t>
      </w:r>
      <w:r w:rsidRPr="002C58DF">
        <w:rPr>
          <w:rFonts w:eastAsia="Times New Roman"/>
          <w:iCs/>
          <w:lang w:val="fr-FR" w:eastAsia="fr-FR"/>
        </w:rPr>
        <w:t xml:space="preserve"> 388 du 23 décembre 2000. Selon cette disposition légale, les traitements des magistrats devaient être généralement revus. La disposition légale sur laquelle les requérants avaient fondé leur demande fut abrogée, avec effet rétroactif. Les jugements qui avaient reconnu à certains magistrats, notamment aux requérants, le droit à un ajustement de leur salaire selon l</w:t>
      </w:r>
      <w:r>
        <w:rPr>
          <w:rFonts w:eastAsia="Times New Roman"/>
          <w:iCs/>
          <w:lang w:val="fr-FR" w:eastAsia="fr-FR"/>
        </w:rPr>
        <w:t>’</w:t>
      </w:r>
      <w:r w:rsidRPr="002C58DF">
        <w:rPr>
          <w:rFonts w:eastAsia="Times New Roman"/>
          <w:iCs/>
          <w:lang w:val="fr-FR" w:eastAsia="fr-FR"/>
        </w:rPr>
        <w:t>ancien système perdaient leur caractère exécutoire, et ne pouvaient plus être exécutés.</w:t>
      </w:r>
    </w:p>
    <w:p w:rsidR="00CF7619" w:rsidRPr="002C58DF" w:rsidRDefault="00CF7619" w:rsidP="002C58DF">
      <w:pPr>
        <w:ind w:firstLine="284"/>
        <w:rPr>
          <w:rFonts w:eastAsia="Times New Roman"/>
          <w:lang w:val="fr-FR" w:eastAsia="fr-FR"/>
        </w:rPr>
      </w:pPr>
    </w:p>
    <w:p w:rsidR="00CF7619" w:rsidRPr="002C58DF" w:rsidRDefault="00CF7619" w:rsidP="002C58DF">
      <w:pPr>
        <w:ind w:firstLine="284"/>
        <w:rPr>
          <w:rFonts w:eastAsia="Times New Roman"/>
          <w:lang w:val="fr-FR" w:eastAsia="fr-FR"/>
        </w:rPr>
      </w:pPr>
      <w:r w:rsidRPr="002C58DF">
        <w:rPr>
          <w:rFonts w:eastAsia="Times New Roman"/>
          <w:lang w:val="fr-FR" w:eastAsia="fr-FR"/>
        </w:rPr>
        <w:t>5.  Les effets de cette intervention législative se sont fait sentir lorsque les requérants ont entamé la procédure d</w:t>
      </w:r>
      <w:r>
        <w:rPr>
          <w:rFonts w:eastAsia="Times New Roman"/>
          <w:lang w:val="fr-FR" w:eastAsia="fr-FR"/>
        </w:rPr>
        <w:t>’</w:t>
      </w:r>
      <w:r w:rsidRPr="002C58DF">
        <w:rPr>
          <w:rFonts w:eastAsia="Times New Roman"/>
          <w:lang w:val="fr-FR" w:eastAsia="fr-FR"/>
        </w:rPr>
        <w:t>exécution du jugement rendu 1995. En première instance, le tribunal administratif de Campanie estima que le jugement de 1995 avait acquis force de chose jugée (« </w:t>
      </w:r>
      <w:r w:rsidRPr="002C58DF">
        <w:rPr>
          <w:rFonts w:eastAsia="Times New Roman"/>
          <w:i/>
          <w:iCs/>
          <w:lang w:val="fr-FR" w:eastAsia="fr-FR"/>
        </w:rPr>
        <w:t>cosa giudicata formale</w:t>
      </w:r>
      <w:r w:rsidRPr="002C58DF">
        <w:rPr>
          <w:rFonts w:eastAsia="Times New Roman"/>
          <w:iCs/>
          <w:lang w:val="fr-FR" w:eastAsia="fr-FR"/>
        </w:rPr>
        <w:t> », selon l</w:t>
      </w:r>
      <w:r>
        <w:rPr>
          <w:rFonts w:eastAsia="Times New Roman"/>
          <w:iCs/>
          <w:lang w:val="fr-FR" w:eastAsia="fr-FR"/>
        </w:rPr>
        <w:t>’</w:t>
      </w:r>
      <w:r w:rsidRPr="002C58DF">
        <w:rPr>
          <w:rFonts w:eastAsia="Times New Roman"/>
          <w:iCs/>
          <w:lang w:val="fr-FR" w:eastAsia="fr-FR"/>
        </w:rPr>
        <w:t xml:space="preserve">article 324 du code de procédure civile) </w:t>
      </w:r>
      <w:r w:rsidRPr="002C58DF">
        <w:rPr>
          <w:rFonts w:eastAsia="Times New Roman"/>
          <w:lang w:val="fr-FR" w:eastAsia="fr-FR"/>
        </w:rPr>
        <w:t>au plus tard le 28 avril 1997, et que selon les principes applicables il était à l</w:t>
      </w:r>
      <w:r>
        <w:rPr>
          <w:rFonts w:eastAsia="Times New Roman"/>
          <w:lang w:val="fr-FR" w:eastAsia="fr-FR"/>
        </w:rPr>
        <w:t>’</w:t>
      </w:r>
      <w:r w:rsidRPr="002C58DF">
        <w:rPr>
          <w:rFonts w:eastAsia="Times New Roman"/>
          <w:lang w:val="fr-FR" w:eastAsia="fr-FR"/>
        </w:rPr>
        <w:t>abri de toute intervention du législateur. Sur recours de l</w:t>
      </w:r>
      <w:r>
        <w:rPr>
          <w:rFonts w:eastAsia="Times New Roman"/>
          <w:lang w:val="fr-FR" w:eastAsia="fr-FR"/>
        </w:rPr>
        <w:t>’</w:t>
      </w:r>
      <w:r w:rsidRPr="002C58DF">
        <w:rPr>
          <w:rFonts w:eastAsia="Times New Roman"/>
          <w:lang w:val="fr-FR" w:eastAsia="fr-FR"/>
        </w:rPr>
        <w:t>administration, le Conseil d</w:t>
      </w:r>
      <w:r>
        <w:rPr>
          <w:rFonts w:eastAsia="Times New Roman"/>
          <w:lang w:val="fr-FR" w:eastAsia="fr-FR"/>
        </w:rPr>
        <w:t>’</w:t>
      </w:r>
      <w:r w:rsidRPr="002C58DF">
        <w:rPr>
          <w:rFonts w:eastAsia="Times New Roman"/>
          <w:lang w:val="fr-FR" w:eastAsia="fr-FR"/>
        </w:rPr>
        <w:t>État décida toutefois que le jugement de 1995 n</w:t>
      </w:r>
      <w:r>
        <w:rPr>
          <w:rFonts w:eastAsia="Times New Roman"/>
          <w:lang w:val="fr-FR" w:eastAsia="fr-FR"/>
        </w:rPr>
        <w:t>’</w:t>
      </w:r>
      <w:r w:rsidRPr="002C58DF">
        <w:rPr>
          <w:rFonts w:eastAsia="Times New Roman"/>
          <w:lang w:val="fr-FR" w:eastAsia="fr-FR"/>
        </w:rPr>
        <w:t>était pas encore passé en force de chose jugée au moment de l</w:t>
      </w:r>
      <w:r>
        <w:rPr>
          <w:rFonts w:eastAsia="Times New Roman"/>
          <w:lang w:val="fr-FR" w:eastAsia="fr-FR"/>
        </w:rPr>
        <w:t>’</w:t>
      </w:r>
      <w:r w:rsidRPr="002C58DF">
        <w:rPr>
          <w:rFonts w:eastAsia="Times New Roman"/>
          <w:lang w:val="fr-FR" w:eastAsia="fr-FR"/>
        </w:rPr>
        <w:t>entrée en vigueur de la loi n</w:t>
      </w:r>
      <w:r w:rsidRPr="0012484C">
        <w:rPr>
          <w:rFonts w:eastAsia="Times New Roman"/>
          <w:vertAlign w:val="superscript"/>
          <w:lang w:val="fr-FR" w:eastAsia="fr-FR"/>
        </w:rPr>
        <w:t>o</w:t>
      </w:r>
      <w:r w:rsidRPr="002C58DF">
        <w:rPr>
          <w:rFonts w:eastAsia="Times New Roman"/>
          <w:lang w:val="fr-FR" w:eastAsia="fr-FR"/>
        </w:rPr>
        <w:t> 388/2000, et que l</w:t>
      </w:r>
      <w:r>
        <w:rPr>
          <w:rFonts w:eastAsia="Times New Roman"/>
          <w:lang w:val="fr-FR" w:eastAsia="fr-FR"/>
        </w:rPr>
        <w:t>’</w:t>
      </w:r>
      <w:r w:rsidRPr="002C58DF">
        <w:rPr>
          <w:rFonts w:eastAsia="Times New Roman"/>
          <w:lang w:val="fr-FR" w:eastAsia="fr-FR"/>
        </w:rPr>
        <w:t>article 50 de cette loi trouvait donc à s</w:t>
      </w:r>
      <w:r>
        <w:rPr>
          <w:rFonts w:eastAsia="Times New Roman"/>
          <w:lang w:val="fr-FR" w:eastAsia="fr-FR"/>
        </w:rPr>
        <w:t>’</w:t>
      </w:r>
      <w:r w:rsidRPr="002C58DF">
        <w:rPr>
          <w:rFonts w:eastAsia="Times New Roman"/>
          <w:lang w:val="fr-FR" w:eastAsia="fr-FR"/>
        </w:rPr>
        <w:t>appliquer.</w:t>
      </w:r>
    </w:p>
    <w:p w:rsidR="00CF7619" w:rsidRPr="002C58DF" w:rsidRDefault="00CF7619" w:rsidP="002C58DF">
      <w:pPr>
        <w:ind w:firstLine="284"/>
        <w:rPr>
          <w:rFonts w:eastAsia="Times New Roman"/>
          <w:lang w:val="fr-FR" w:eastAsia="fr-FR"/>
        </w:rPr>
      </w:pPr>
    </w:p>
    <w:p w:rsidR="00CF7619" w:rsidRPr="002C58DF" w:rsidRDefault="00CF7619" w:rsidP="002C58DF">
      <w:pPr>
        <w:ind w:firstLine="284"/>
        <w:rPr>
          <w:rFonts w:eastAsia="Times New Roman"/>
          <w:lang w:val="fr-FR" w:eastAsia="fr-FR"/>
        </w:rPr>
      </w:pPr>
      <w:r w:rsidRPr="002C58DF">
        <w:rPr>
          <w:rFonts w:eastAsia="Times New Roman"/>
          <w:lang w:val="fr-FR" w:eastAsia="fr-FR"/>
        </w:rPr>
        <w:t>6.  Il en résulte, selon nous, que les requérants ont subi un dommage bien précis : ils ont perdu le bénéfice de l</w:t>
      </w:r>
      <w:r>
        <w:rPr>
          <w:rFonts w:eastAsia="Times New Roman"/>
          <w:lang w:val="fr-FR" w:eastAsia="fr-FR"/>
        </w:rPr>
        <w:t>’</w:t>
      </w:r>
      <w:r w:rsidRPr="002C58DF">
        <w:rPr>
          <w:rFonts w:eastAsia="Times New Roman"/>
          <w:lang w:val="fr-FR" w:eastAsia="fr-FR"/>
        </w:rPr>
        <w:t>ajustement de leur traitement qui a été reconnu par le jugement de 1995. C</w:t>
      </w:r>
      <w:r>
        <w:rPr>
          <w:rFonts w:eastAsia="Times New Roman"/>
          <w:lang w:val="fr-FR" w:eastAsia="fr-FR"/>
        </w:rPr>
        <w:t>’</w:t>
      </w:r>
      <w:r w:rsidRPr="002C58DF">
        <w:rPr>
          <w:rFonts w:eastAsia="Times New Roman"/>
          <w:lang w:val="fr-FR" w:eastAsia="fr-FR"/>
        </w:rPr>
        <w:t>est pour cette raison que nous estimons que la Cour devrait leur accorder une satisfaction équitable d</w:t>
      </w:r>
      <w:r>
        <w:rPr>
          <w:rFonts w:eastAsia="Times New Roman"/>
          <w:lang w:val="fr-FR" w:eastAsia="fr-FR"/>
        </w:rPr>
        <w:t>’</w:t>
      </w:r>
      <w:r w:rsidRPr="002C58DF">
        <w:rPr>
          <w:rFonts w:eastAsia="Times New Roman"/>
          <w:lang w:val="fr-FR" w:eastAsia="fr-FR"/>
        </w:rPr>
        <w:t>un montant équivalent à la valeur de l</w:t>
      </w:r>
      <w:r>
        <w:rPr>
          <w:rFonts w:eastAsia="Times New Roman"/>
          <w:lang w:val="fr-FR" w:eastAsia="fr-FR"/>
        </w:rPr>
        <w:t>’</w:t>
      </w:r>
      <w:r w:rsidRPr="002C58DF">
        <w:rPr>
          <w:rFonts w:eastAsia="Times New Roman"/>
          <w:lang w:val="fr-FR" w:eastAsia="fr-FR"/>
        </w:rPr>
        <w:t>ajustement de leur traitement tel qu</w:t>
      </w:r>
      <w:r>
        <w:rPr>
          <w:rFonts w:eastAsia="Times New Roman"/>
          <w:lang w:val="fr-FR" w:eastAsia="fr-FR"/>
        </w:rPr>
        <w:t>’</w:t>
      </w:r>
      <w:r w:rsidRPr="002C58DF">
        <w:rPr>
          <w:rFonts w:eastAsia="Times New Roman"/>
          <w:lang w:val="fr-FR" w:eastAsia="fr-FR"/>
        </w:rPr>
        <w:t>il a été reconnu. La période à prendre en considération serait celle pendant laquelle l</w:t>
      </w:r>
      <w:r>
        <w:rPr>
          <w:rFonts w:eastAsia="Times New Roman"/>
          <w:lang w:val="fr-FR" w:eastAsia="fr-FR"/>
        </w:rPr>
        <w:t>’</w:t>
      </w:r>
      <w:r w:rsidRPr="002C58DF">
        <w:rPr>
          <w:rFonts w:eastAsia="Times New Roman"/>
          <w:lang w:val="fr-FR" w:eastAsia="fr-FR"/>
        </w:rPr>
        <w:t>effet rétroactif de la loi n</w:t>
      </w:r>
      <w:r w:rsidRPr="0012484C">
        <w:rPr>
          <w:rFonts w:eastAsia="Times New Roman"/>
          <w:vertAlign w:val="superscript"/>
          <w:lang w:val="fr-FR" w:eastAsia="fr-FR"/>
        </w:rPr>
        <w:t>o</w:t>
      </w:r>
      <w:r w:rsidRPr="002C58DF">
        <w:rPr>
          <w:rFonts w:eastAsia="Times New Roman"/>
          <w:lang w:val="fr-FR" w:eastAsia="fr-FR"/>
        </w:rPr>
        <w:t xml:space="preserve"> 388/2000 s</w:t>
      </w:r>
      <w:r>
        <w:rPr>
          <w:rFonts w:eastAsia="Times New Roman"/>
          <w:lang w:val="fr-FR" w:eastAsia="fr-FR"/>
        </w:rPr>
        <w:t>’</w:t>
      </w:r>
      <w:r w:rsidRPr="002C58DF">
        <w:rPr>
          <w:rFonts w:eastAsia="Times New Roman"/>
          <w:lang w:val="fr-FR" w:eastAsia="fr-FR"/>
        </w:rPr>
        <w:t>est fait sentir, c</w:t>
      </w:r>
      <w:r>
        <w:rPr>
          <w:rFonts w:eastAsia="Times New Roman"/>
          <w:lang w:val="fr-FR" w:eastAsia="fr-FR"/>
        </w:rPr>
        <w:t>’</w:t>
      </w:r>
      <w:r w:rsidRPr="002C58DF">
        <w:rPr>
          <w:rFonts w:eastAsia="Times New Roman"/>
          <w:lang w:val="fr-FR" w:eastAsia="fr-FR"/>
        </w:rPr>
        <w:t>est-à-dire depuis le dépôt du jugement de 1995 jusqu</w:t>
      </w:r>
      <w:r>
        <w:rPr>
          <w:rFonts w:eastAsia="Times New Roman"/>
          <w:lang w:val="fr-FR" w:eastAsia="fr-FR"/>
        </w:rPr>
        <w:t>’</w:t>
      </w:r>
      <w:r w:rsidRPr="002C58DF">
        <w:rPr>
          <w:rFonts w:eastAsia="Times New Roman"/>
          <w:lang w:val="fr-FR" w:eastAsia="fr-FR"/>
        </w:rPr>
        <w:t>à la date de l</w:t>
      </w:r>
      <w:r>
        <w:rPr>
          <w:rFonts w:eastAsia="Times New Roman"/>
          <w:lang w:val="fr-FR" w:eastAsia="fr-FR"/>
        </w:rPr>
        <w:t>’</w:t>
      </w:r>
      <w:r w:rsidRPr="002C58DF">
        <w:rPr>
          <w:rFonts w:eastAsia="Times New Roman"/>
          <w:lang w:val="fr-FR" w:eastAsia="fr-FR"/>
        </w:rPr>
        <w:t>entrée en vigueur de ladite loi. Les montants mensuels devraient être majorés des intérêts moratoires calculés selon le taux légal en vigueur.</w:t>
      </w:r>
    </w:p>
    <w:p w:rsidR="00CF7619" w:rsidRPr="002C58DF" w:rsidRDefault="00CF7619" w:rsidP="002C58DF">
      <w:pPr>
        <w:ind w:firstLine="284"/>
        <w:rPr>
          <w:rFonts w:eastAsia="Times New Roman"/>
          <w:lang w:val="fr-FR" w:eastAsia="fr-FR"/>
        </w:rPr>
      </w:pPr>
    </w:p>
    <w:p w:rsidR="00CF7619" w:rsidRPr="002C58DF" w:rsidRDefault="00CF7619" w:rsidP="002C58DF">
      <w:pPr>
        <w:ind w:firstLine="284"/>
        <w:rPr>
          <w:rFonts w:eastAsia="Times New Roman"/>
          <w:lang w:val="fr-FR" w:eastAsia="fr-FR"/>
        </w:rPr>
      </w:pPr>
      <w:r w:rsidRPr="002C58DF">
        <w:rPr>
          <w:rFonts w:eastAsia="Times New Roman"/>
          <w:lang w:val="fr-FR" w:eastAsia="fr-FR"/>
        </w:rPr>
        <w:t>7.  Procéder au calcul exact des montants qui, selon nous, devraient être alloués est sans intérêt dans le cadre de la présente opinion dissidente. Sans être certains, nous supposons que ces montants sont plus élevés que ceux effectivement alloués par la Cour. C</w:t>
      </w:r>
      <w:r>
        <w:rPr>
          <w:rFonts w:eastAsia="Times New Roman"/>
          <w:lang w:val="fr-FR" w:eastAsia="fr-FR"/>
        </w:rPr>
        <w:t>’</w:t>
      </w:r>
      <w:r w:rsidRPr="002C58DF">
        <w:rPr>
          <w:rFonts w:eastAsia="Times New Roman"/>
          <w:lang w:val="fr-FR" w:eastAsia="fr-FR"/>
        </w:rPr>
        <w:t>est pour cette raison que nous avons voté contre le point 4 du dispositif.</w:t>
      </w:r>
    </w:p>
    <w:p w:rsidR="00CF7619" w:rsidRPr="002C58DF" w:rsidRDefault="00CF7619" w:rsidP="002C58DF">
      <w:pPr>
        <w:pStyle w:val="JuInitialled"/>
        <w:jc w:val="both"/>
      </w:pPr>
    </w:p>
    <w:sectPr w:rsidR="00CF7619" w:rsidRPr="002C58DF" w:rsidSect="002C58DF">
      <w:headerReference w:type="even" r:id="rId16"/>
      <w:headerReference w:type="default" r:id="rId17"/>
      <w:pgSz w:w="11906" w:h="16838" w:code="9"/>
      <w:pgMar w:top="1418" w:right="2268" w:bottom="1418" w:left="2268"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19" w:rsidRDefault="00CF7619">
      <w:r>
        <w:separator/>
      </w:r>
    </w:p>
  </w:endnote>
  <w:endnote w:type="continuationSeparator" w:id="0">
    <w:p w:rsidR="00CF7619" w:rsidRDefault="00CF7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19" w:rsidRPr="00150BFA" w:rsidRDefault="00CF7619" w:rsidP="0020718E">
    <w:pPr>
      <w:jc w:val="center"/>
    </w:pPr>
    <w:r w:rsidRPr="006E2F98">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60pt;height:48.75pt;visibility:visible">
          <v:imagedata r:id="rId1" o:title=""/>
        </v:shape>
      </w:pict>
    </w:r>
  </w:p>
  <w:p w:rsidR="00CF7619" w:rsidRDefault="00CF7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19" w:rsidRDefault="00CF7619">
      <w:r>
        <w:separator/>
      </w:r>
    </w:p>
  </w:footnote>
  <w:footnote w:type="continuationSeparator" w:id="0">
    <w:p w:rsidR="00CF7619" w:rsidRDefault="00CF7619">
      <w:r>
        <w:continuationSeparator/>
      </w:r>
    </w:p>
  </w:footnote>
  <w:footnote w:id="1">
    <w:p w:rsidR="00CF7619" w:rsidRDefault="00CF7619" w:rsidP="002C58DF">
      <w:pPr>
        <w:pStyle w:val="FootnoteText"/>
      </w:pPr>
      <w:r>
        <w:rPr>
          <w:rStyle w:val="FootnoteReference"/>
        </w:rPr>
        <w:footnoteRef/>
      </w:r>
      <w:r w:rsidRPr="001942D8">
        <w:rPr>
          <w:lang w:val="fr-FR"/>
        </w:rPr>
        <w:t xml:space="preserve"> </w:t>
      </w:r>
      <w:r>
        <w:rPr>
          <w:lang w:val="fr-FR"/>
        </w:rPr>
        <w:t xml:space="preserve">Nous notons par ailleurs que cette affaire constitue une illustration de plus du fait que le législateur italien a trop régulièrement recours au mécanisme de la loi interprétative, ayant un effet rétroactif, pour résoudre des problèmes budgétaires de l’État résultant du fait qu’un nombre de citoyens ont obtenu gain de cause contre l’État dans des affaires pendantes devant les juridictions nationales. Voir à ce sujet notre opinion dissidente dans </w:t>
      </w:r>
      <w:r w:rsidRPr="00A049B8">
        <w:rPr>
          <w:i/>
          <w:lang w:val="fr-FR"/>
        </w:rPr>
        <w:t xml:space="preserve">Azienda Agricola Silverfunghi </w:t>
      </w:r>
      <w:r>
        <w:rPr>
          <w:i/>
          <w:lang w:val="fr-FR"/>
        </w:rPr>
        <w:t xml:space="preserve">s.a.s. </w:t>
      </w:r>
      <w:r w:rsidRPr="00A049B8">
        <w:rPr>
          <w:i/>
          <w:lang w:val="fr-FR"/>
        </w:rPr>
        <w:t>et autres c. Italie</w:t>
      </w:r>
      <w:r>
        <w:rPr>
          <w:lang w:val="fr-FR"/>
        </w:rPr>
        <w:t>, n°</w:t>
      </w:r>
      <w:r>
        <w:rPr>
          <w:vertAlign w:val="superscript"/>
          <w:lang w:val="fr-FR"/>
        </w:rPr>
        <w:t xml:space="preserve">s </w:t>
      </w:r>
      <w:r w:rsidRPr="003844CB">
        <w:rPr>
          <w:lang w:val="fr-FR"/>
        </w:rPr>
        <w:t>48357/07</w:t>
      </w:r>
      <w:r>
        <w:rPr>
          <w:lang w:val="fr-FR"/>
        </w:rPr>
        <w:t xml:space="preserve"> et autres, 24 juin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19" w:rsidRPr="00DE593D" w:rsidRDefault="00CF7619" w:rsidP="00F97FF1">
    <w:pPr>
      <w:pStyle w:val="ECHR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19" w:rsidRPr="00A45145" w:rsidRDefault="00CF7619" w:rsidP="00A45145">
    <w:pPr>
      <w:jc w:val="center"/>
    </w:pPr>
    <w:r w:rsidRPr="006E2F98">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CF7619" w:rsidRDefault="00CF76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19" w:rsidRDefault="00CF7619" w:rsidP="00946BFB">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DE593D">
      <w:rPr>
        <w:rStyle w:val="PageNumber"/>
      </w:rPr>
      <w:tab/>
    </w:r>
    <w:r w:rsidRPr="00E83407">
      <w:t>ARRÊT GUADAGNO ET AU</w:t>
    </w:r>
    <w:r>
      <w:t>TRES c. ITALIE</w:t>
    </w:r>
  </w:p>
  <w:p w:rsidR="00CF7619" w:rsidRPr="00DE593D" w:rsidRDefault="00CF7619" w:rsidP="00946BFB">
    <w:pPr>
      <w:pStyle w:val="ECHR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19" w:rsidRDefault="00CF7619" w:rsidP="00946BFB">
    <w:pPr>
      <w:pStyle w:val="ECHRHeader"/>
      <w:rPr>
        <w:rStyle w:val="PageNumber"/>
      </w:rPr>
    </w:pPr>
    <w:r>
      <w:tab/>
    </w:r>
    <w:r w:rsidRPr="00E83407">
      <w:t>ARRÊ</w:t>
    </w:r>
    <w:r>
      <w:t xml:space="preserve">T GUADAGNO ET AUTRES c. ITALIE </w:t>
    </w:r>
    <w:r w:rsidRPr="00DE593D">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F7619" w:rsidRPr="00DE593D" w:rsidRDefault="00CF7619" w:rsidP="00946BFB">
    <w:pPr>
      <w:pStyle w:val="ECHR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19" w:rsidRDefault="00CF7619" w:rsidP="00946BFB">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DE593D">
      <w:rPr>
        <w:rStyle w:val="PageNumber"/>
      </w:rPr>
      <w:tab/>
    </w:r>
    <w:r w:rsidRPr="00E83407">
      <w:t>ARRÊT GUADAGNO ET AUTRES c. ITALIE – OPINION SÉPARÉE</w:t>
    </w:r>
  </w:p>
  <w:p w:rsidR="00CF7619" w:rsidRPr="00DE593D" w:rsidRDefault="00CF7619" w:rsidP="00946BFB">
    <w:pPr>
      <w:pStyle w:val="ECHR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19" w:rsidRDefault="00CF7619" w:rsidP="00946BFB">
    <w:pPr>
      <w:pStyle w:val="ECHRHeader"/>
      <w:rPr>
        <w:rStyle w:val="PageNumber"/>
      </w:rPr>
    </w:pPr>
    <w:r>
      <w:tab/>
    </w:r>
    <w:r w:rsidRPr="00E83407">
      <w:t>ARRÊT GUADAGNO ET AUTRES c. ITALIE – OPINION SÉPARÉE</w:t>
    </w:r>
    <w:r w:rsidRPr="00DE593D">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F7619" w:rsidRDefault="00CF7619" w:rsidP="00946BFB">
    <w:pPr>
      <w:pStyle w:val="ECHRHeader"/>
      <w:rPr>
        <w:rStyle w:val="PageNumber"/>
      </w:rPr>
    </w:pPr>
  </w:p>
  <w:p w:rsidR="00CF7619" w:rsidRPr="00DE593D" w:rsidRDefault="00CF7619" w:rsidP="00946BFB">
    <w:pPr>
      <w:pStyle w:val="ECHR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189B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C430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268F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A0A7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AEA0B8"/>
    <w:lvl w:ilvl="0">
      <w:start w:val="1"/>
      <w:numFmt w:val="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02B316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ACA0CC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D7306C"/>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71284FE3"/>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3F24E9E"/>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763C33FC"/>
    <w:multiLevelType w:val="hybridMultilevel"/>
    <w:tmpl w:val="E0FCD5BE"/>
    <w:lvl w:ilvl="0" w:tplc="DAD6E6DA">
      <w:start w:val="1"/>
      <w:numFmt w:val="decimal"/>
      <w:lvlText w:val="%1)"/>
      <w:lvlJc w:val="left"/>
      <w:pPr>
        <w:tabs>
          <w:tab w:val="num" w:pos="839"/>
        </w:tabs>
        <w:ind w:left="839" w:hanging="555"/>
      </w:pPr>
      <w:rPr>
        <w:rFonts w:cs="Times New Roman" w:hint="default"/>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78006E1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8"/>
  </w:num>
  <w:num w:numId="23">
    <w:abstractNumId w:val="11"/>
  </w:num>
  <w:num w:numId="24">
    <w:abstractNumId w:val="10"/>
  </w:num>
  <w:num w:numId="25">
    <w:abstractNumId w:val="14"/>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15"/>
  </w:num>
  <w:num w:numId="37">
    <w:abstractNumId w:val="16"/>
  </w:num>
  <w:num w:numId="38">
    <w:abstractNumId w:val="19"/>
  </w:num>
  <w:num w:numId="39">
    <w:abstractNumId w:val="13"/>
  </w:num>
  <w:num w:numId="4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F004"/>
  <w:defaultTabStop w:val="706"/>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092931"/>
    <w:rsid w:val="000006A2"/>
    <w:rsid w:val="00000A8E"/>
    <w:rsid w:val="00006607"/>
    <w:rsid w:val="0000732D"/>
    <w:rsid w:val="0001493E"/>
    <w:rsid w:val="00023684"/>
    <w:rsid w:val="0003067A"/>
    <w:rsid w:val="000346B8"/>
    <w:rsid w:val="00034B42"/>
    <w:rsid w:val="000372C9"/>
    <w:rsid w:val="00042DCF"/>
    <w:rsid w:val="000508A3"/>
    <w:rsid w:val="00060909"/>
    <w:rsid w:val="00065A8F"/>
    <w:rsid w:val="000702AF"/>
    <w:rsid w:val="00072E60"/>
    <w:rsid w:val="00076451"/>
    <w:rsid w:val="0009234F"/>
    <w:rsid w:val="00092931"/>
    <w:rsid w:val="00093432"/>
    <w:rsid w:val="0009497E"/>
    <w:rsid w:val="00095825"/>
    <w:rsid w:val="0009631E"/>
    <w:rsid w:val="0009688D"/>
    <w:rsid w:val="000A1ADF"/>
    <w:rsid w:val="000A2730"/>
    <w:rsid w:val="000A3D31"/>
    <w:rsid w:val="000A4F27"/>
    <w:rsid w:val="000B3205"/>
    <w:rsid w:val="000B7194"/>
    <w:rsid w:val="000C4043"/>
    <w:rsid w:val="000D24E7"/>
    <w:rsid w:val="000D6013"/>
    <w:rsid w:val="000E2985"/>
    <w:rsid w:val="000E4D02"/>
    <w:rsid w:val="000E78C7"/>
    <w:rsid w:val="000F08D4"/>
    <w:rsid w:val="000F3E50"/>
    <w:rsid w:val="001025B8"/>
    <w:rsid w:val="001218D5"/>
    <w:rsid w:val="0012484C"/>
    <w:rsid w:val="00126687"/>
    <w:rsid w:val="00134994"/>
    <w:rsid w:val="001352AA"/>
    <w:rsid w:val="00142DF7"/>
    <w:rsid w:val="00147398"/>
    <w:rsid w:val="00150742"/>
    <w:rsid w:val="00150BFA"/>
    <w:rsid w:val="001524AA"/>
    <w:rsid w:val="001542F3"/>
    <w:rsid w:val="00160E56"/>
    <w:rsid w:val="00167801"/>
    <w:rsid w:val="00172CF0"/>
    <w:rsid w:val="001752B0"/>
    <w:rsid w:val="00180C7C"/>
    <w:rsid w:val="00180FFE"/>
    <w:rsid w:val="00184E3A"/>
    <w:rsid w:val="00184ED4"/>
    <w:rsid w:val="001942D8"/>
    <w:rsid w:val="00196E64"/>
    <w:rsid w:val="001A1237"/>
    <w:rsid w:val="001C27CE"/>
    <w:rsid w:val="001F258E"/>
    <w:rsid w:val="001F48D8"/>
    <w:rsid w:val="001F6022"/>
    <w:rsid w:val="001F6681"/>
    <w:rsid w:val="00206868"/>
    <w:rsid w:val="0020718E"/>
    <w:rsid w:val="00207248"/>
    <w:rsid w:val="002078FD"/>
    <w:rsid w:val="00211F5F"/>
    <w:rsid w:val="00215E4A"/>
    <w:rsid w:val="00220C1C"/>
    <w:rsid w:val="00221D16"/>
    <w:rsid w:val="00236C5E"/>
    <w:rsid w:val="00242EA1"/>
    <w:rsid w:val="00245B78"/>
    <w:rsid w:val="00247DD7"/>
    <w:rsid w:val="0025736C"/>
    <w:rsid w:val="00257BD3"/>
    <w:rsid w:val="002617E3"/>
    <w:rsid w:val="00263561"/>
    <w:rsid w:val="00274199"/>
    <w:rsid w:val="00275892"/>
    <w:rsid w:val="00282023"/>
    <w:rsid w:val="002821AD"/>
    <w:rsid w:val="0028541F"/>
    <w:rsid w:val="00287191"/>
    <w:rsid w:val="002921BB"/>
    <w:rsid w:val="0029723C"/>
    <w:rsid w:val="002972E1"/>
    <w:rsid w:val="002A27EC"/>
    <w:rsid w:val="002B015F"/>
    <w:rsid w:val="002B3A44"/>
    <w:rsid w:val="002C58DF"/>
    <w:rsid w:val="002C71B0"/>
    <w:rsid w:val="002D020E"/>
    <w:rsid w:val="002D515F"/>
    <w:rsid w:val="002F1CE6"/>
    <w:rsid w:val="0030487C"/>
    <w:rsid w:val="00305449"/>
    <w:rsid w:val="003146A4"/>
    <w:rsid w:val="00315C8E"/>
    <w:rsid w:val="00315DE0"/>
    <w:rsid w:val="00327411"/>
    <w:rsid w:val="00327CE3"/>
    <w:rsid w:val="003306D4"/>
    <w:rsid w:val="0033610E"/>
    <w:rsid w:val="003407D0"/>
    <w:rsid w:val="00341552"/>
    <w:rsid w:val="00342126"/>
    <w:rsid w:val="00350960"/>
    <w:rsid w:val="00353314"/>
    <w:rsid w:val="00360C14"/>
    <w:rsid w:val="00361411"/>
    <w:rsid w:val="00361E13"/>
    <w:rsid w:val="00362D1F"/>
    <w:rsid w:val="00370701"/>
    <w:rsid w:val="00381E02"/>
    <w:rsid w:val="003835A5"/>
    <w:rsid w:val="00383CB7"/>
    <w:rsid w:val="003844CB"/>
    <w:rsid w:val="00386B91"/>
    <w:rsid w:val="00387F24"/>
    <w:rsid w:val="003925CE"/>
    <w:rsid w:val="003A09B2"/>
    <w:rsid w:val="003B0567"/>
    <w:rsid w:val="003B0FD2"/>
    <w:rsid w:val="003B61BC"/>
    <w:rsid w:val="003B6855"/>
    <w:rsid w:val="003C1570"/>
    <w:rsid w:val="003C4786"/>
    <w:rsid w:val="003C614E"/>
    <w:rsid w:val="003D2870"/>
    <w:rsid w:val="003E2D42"/>
    <w:rsid w:val="003E78B3"/>
    <w:rsid w:val="0040106E"/>
    <w:rsid w:val="00401095"/>
    <w:rsid w:val="0040252B"/>
    <w:rsid w:val="00402F19"/>
    <w:rsid w:val="0040406E"/>
    <w:rsid w:val="00406839"/>
    <w:rsid w:val="004079E9"/>
    <w:rsid w:val="00411421"/>
    <w:rsid w:val="00416D48"/>
    <w:rsid w:val="004219F0"/>
    <w:rsid w:val="00423BC1"/>
    <w:rsid w:val="004254D5"/>
    <w:rsid w:val="00425BF9"/>
    <w:rsid w:val="00430F0B"/>
    <w:rsid w:val="0043151B"/>
    <w:rsid w:val="00442FA9"/>
    <w:rsid w:val="00445E54"/>
    <w:rsid w:val="00453345"/>
    <w:rsid w:val="00453E3A"/>
    <w:rsid w:val="00454EDF"/>
    <w:rsid w:val="004563AF"/>
    <w:rsid w:val="00463A7D"/>
    <w:rsid w:val="004653D9"/>
    <w:rsid w:val="00465719"/>
    <w:rsid w:val="0046778E"/>
    <w:rsid w:val="004702BA"/>
    <w:rsid w:val="004734A5"/>
    <w:rsid w:val="004736D2"/>
    <w:rsid w:val="00475AE5"/>
    <w:rsid w:val="004838C4"/>
    <w:rsid w:val="00486CD2"/>
    <w:rsid w:val="004918BD"/>
    <w:rsid w:val="004930AD"/>
    <w:rsid w:val="004932DA"/>
    <w:rsid w:val="004A01A3"/>
    <w:rsid w:val="004A0F1E"/>
    <w:rsid w:val="004C61A7"/>
    <w:rsid w:val="004C691A"/>
    <w:rsid w:val="004C7DF5"/>
    <w:rsid w:val="004E2C3C"/>
    <w:rsid w:val="004E3393"/>
    <w:rsid w:val="004E4552"/>
    <w:rsid w:val="004E63CA"/>
    <w:rsid w:val="004F404D"/>
    <w:rsid w:val="004F4EC7"/>
    <w:rsid w:val="004F68A7"/>
    <w:rsid w:val="00505AAA"/>
    <w:rsid w:val="00511F45"/>
    <w:rsid w:val="00514743"/>
    <w:rsid w:val="0052605E"/>
    <w:rsid w:val="00527D18"/>
    <w:rsid w:val="005319B5"/>
    <w:rsid w:val="0053642D"/>
    <w:rsid w:val="005445AA"/>
    <w:rsid w:val="00547237"/>
    <w:rsid w:val="005501DA"/>
    <w:rsid w:val="0055370D"/>
    <w:rsid w:val="00554D5C"/>
    <w:rsid w:val="00560B55"/>
    <w:rsid w:val="00561AFB"/>
    <w:rsid w:val="005636A5"/>
    <w:rsid w:val="00563A5F"/>
    <w:rsid w:val="0057103A"/>
    <w:rsid w:val="00571C6D"/>
    <w:rsid w:val="005737E4"/>
    <w:rsid w:val="005740C2"/>
    <w:rsid w:val="005801E1"/>
    <w:rsid w:val="00584B10"/>
    <w:rsid w:val="005A3F2C"/>
    <w:rsid w:val="005B51DE"/>
    <w:rsid w:val="005B7AAF"/>
    <w:rsid w:val="005C3DEE"/>
    <w:rsid w:val="005C5FCE"/>
    <w:rsid w:val="005E099C"/>
    <w:rsid w:val="005E116A"/>
    <w:rsid w:val="005E1B0C"/>
    <w:rsid w:val="005E7568"/>
    <w:rsid w:val="005E79EB"/>
    <w:rsid w:val="005F43E1"/>
    <w:rsid w:val="005F7F0F"/>
    <w:rsid w:val="0061049D"/>
    <w:rsid w:val="00612896"/>
    <w:rsid w:val="00616140"/>
    <w:rsid w:val="00620817"/>
    <w:rsid w:val="006208CF"/>
    <w:rsid w:val="00624A15"/>
    <w:rsid w:val="00626255"/>
    <w:rsid w:val="006323CF"/>
    <w:rsid w:val="00637525"/>
    <w:rsid w:val="00637C11"/>
    <w:rsid w:val="0064438C"/>
    <w:rsid w:val="006574C9"/>
    <w:rsid w:val="00662B64"/>
    <w:rsid w:val="006716C1"/>
    <w:rsid w:val="0068104D"/>
    <w:rsid w:val="00681950"/>
    <w:rsid w:val="00685582"/>
    <w:rsid w:val="00693A1D"/>
    <w:rsid w:val="00694356"/>
    <w:rsid w:val="0069719D"/>
    <w:rsid w:val="006A05A8"/>
    <w:rsid w:val="006A0F1E"/>
    <w:rsid w:val="006A1ADE"/>
    <w:rsid w:val="006A1F0E"/>
    <w:rsid w:val="006A5686"/>
    <w:rsid w:val="006B1877"/>
    <w:rsid w:val="006B1C83"/>
    <w:rsid w:val="006B3663"/>
    <w:rsid w:val="006C7EDB"/>
    <w:rsid w:val="006D6348"/>
    <w:rsid w:val="006D6FF8"/>
    <w:rsid w:val="006E10B7"/>
    <w:rsid w:val="006E2F98"/>
    <w:rsid w:val="006E30BD"/>
    <w:rsid w:val="006E3C39"/>
    <w:rsid w:val="006F005A"/>
    <w:rsid w:val="007028E0"/>
    <w:rsid w:val="00710681"/>
    <w:rsid w:val="00722806"/>
    <w:rsid w:val="007357D0"/>
    <w:rsid w:val="007400F3"/>
    <w:rsid w:val="007433D9"/>
    <w:rsid w:val="00752D87"/>
    <w:rsid w:val="00753A77"/>
    <w:rsid w:val="00755392"/>
    <w:rsid w:val="0077322C"/>
    <w:rsid w:val="0077792A"/>
    <w:rsid w:val="00780341"/>
    <w:rsid w:val="00780F3B"/>
    <w:rsid w:val="00781B87"/>
    <w:rsid w:val="007864E1"/>
    <w:rsid w:val="00790C2C"/>
    <w:rsid w:val="00795176"/>
    <w:rsid w:val="007A087B"/>
    <w:rsid w:val="007A1711"/>
    <w:rsid w:val="007A181F"/>
    <w:rsid w:val="007A230F"/>
    <w:rsid w:val="007A52A8"/>
    <w:rsid w:val="007B0925"/>
    <w:rsid w:val="007C1EF3"/>
    <w:rsid w:val="007C23AD"/>
    <w:rsid w:val="007D5A77"/>
    <w:rsid w:val="007D7F7A"/>
    <w:rsid w:val="007E3337"/>
    <w:rsid w:val="007E34C8"/>
    <w:rsid w:val="007E579E"/>
    <w:rsid w:val="007F10C4"/>
    <w:rsid w:val="007F6A42"/>
    <w:rsid w:val="00803644"/>
    <w:rsid w:val="00810868"/>
    <w:rsid w:val="00810883"/>
    <w:rsid w:val="008145D2"/>
    <w:rsid w:val="00830036"/>
    <w:rsid w:val="0083384D"/>
    <w:rsid w:val="0084755E"/>
    <w:rsid w:val="00851756"/>
    <w:rsid w:val="00867E82"/>
    <w:rsid w:val="00872908"/>
    <w:rsid w:val="00872A0C"/>
    <w:rsid w:val="00875F29"/>
    <w:rsid w:val="0088729A"/>
    <w:rsid w:val="0089356C"/>
    <w:rsid w:val="008A0122"/>
    <w:rsid w:val="008B458A"/>
    <w:rsid w:val="008B6085"/>
    <w:rsid w:val="008B6744"/>
    <w:rsid w:val="008C335C"/>
    <w:rsid w:val="008C6E3C"/>
    <w:rsid w:val="008C7FEF"/>
    <w:rsid w:val="008D61D1"/>
    <w:rsid w:val="008F1891"/>
    <w:rsid w:val="008F1D67"/>
    <w:rsid w:val="008F39FB"/>
    <w:rsid w:val="008F6A85"/>
    <w:rsid w:val="0090220E"/>
    <w:rsid w:val="00904F8D"/>
    <w:rsid w:val="009134FC"/>
    <w:rsid w:val="00920A74"/>
    <w:rsid w:val="00920FC5"/>
    <w:rsid w:val="0092156A"/>
    <w:rsid w:val="00921AD8"/>
    <w:rsid w:val="00921C14"/>
    <w:rsid w:val="00922F45"/>
    <w:rsid w:val="009260DF"/>
    <w:rsid w:val="00934E38"/>
    <w:rsid w:val="00936877"/>
    <w:rsid w:val="00942EF5"/>
    <w:rsid w:val="009461B1"/>
    <w:rsid w:val="00946BFB"/>
    <w:rsid w:val="009500CB"/>
    <w:rsid w:val="00956C5C"/>
    <w:rsid w:val="00960112"/>
    <w:rsid w:val="009613DD"/>
    <w:rsid w:val="00962C7A"/>
    <w:rsid w:val="00971B8B"/>
    <w:rsid w:val="0097360D"/>
    <w:rsid w:val="00973C75"/>
    <w:rsid w:val="009754B0"/>
    <w:rsid w:val="00980BEB"/>
    <w:rsid w:val="00981645"/>
    <w:rsid w:val="00981F73"/>
    <w:rsid w:val="00991EBF"/>
    <w:rsid w:val="00995968"/>
    <w:rsid w:val="00997E8C"/>
    <w:rsid w:val="009A0361"/>
    <w:rsid w:val="009A0A09"/>
    <w:rsid w:val="009B26BA"/>
    <w:rsid w:val="009B58D1"/>
    <w:rsid w:val="009C0666"/>
    <w:rsid w:val="009C1366"/>
    <w:rsid w:val="009D2696"/>
    <w:rsid w:val="009D29DE"/>
    <w:rsid w:val="009E2D52"/>
    <w:rsid w:val="009F03E7"/>
    <w:rsid w:val="009F384D"/>
    <w:rsid w:val="009F7286"/>
    <w:rsid w:val="00A049B8"/>
    <w:rsid w:val="00A06F34"/>
    <w:rsid w:val="00A1080F"/>
    <w:rsid w:val="00A1631F"/>
    <w:rsid w:val="00A211C8"/>
    <w:rsid w:val="00A307C9"/>
    <w:rsid w:val="00A3364A"/>
    <w:rsid w:val="00A45145"/>
    <w:rsid w:val="00A46BA1"/>
    <w:rsid w:val="00A52634"/>
    <w:rsid w:val="00A53F42"/>
    <w:rsid w:val="00A639EF"/>
    <w:rsid w:val="00A77361"/>
    <w:rsid w:val="00A77DDC"/>
    <w:rsid w:val="00A82E6D"/>
    <w:rsid w:val="00A87505"/>
    <w:rsid w:val="00A91831"/>
    <w:rsid w:val="00A91B4D"/>
    <w:rsid w:val="00A92E1F"/>
    <w:rsid w:val="00A93D51"/>
    <w:rsid w:val="00A96DB0"/>
    <w:rsid w:val="00A9723E"/>
    <w:rsid w:val="00A97C83"/>
    <w:rsid w:val="00AA242A"/>
    <w:rsid w:val="00AA2CA0"/>
    <w:rsid w:val="00AB67FF"/>
    <w:rsid w:val="00AC15ED"/>
    <w:rsid w:val="00AC41B1"/>
    <w:rsid w:val="00AC5425"/>
    <w:rsid w:val="00AC5A0C"/>
    <w:rsid w:val="00AC6A5F"/>
    <w:rsid w:val="00AD279B"/>
    <w:rsid w:val="00AD3301"/>
    <w:rsid w:val="00AD340B"/>
    <w:rsid w:val="00AD708C"/>
    <w:rsid w:val="00AD71DC"/>
    <w:rsid w:val="00AE409C"/>
    <w:rsid w:val="00AE48DC"/>
    <w:rsid w:val="00AF06F1"/>
    <w:rsid w:val="00B04694"/>
    <w:rsid w:val="00B0698E"/>
    <w:rsid w:val="00B17F2F"/>
    <w:rsid w:val="00B200C9"/>
    <w:rsid w:val="00B20588"/>
    <w:rsid w:val="00B33C50"/>
    <w:rsid w:val="00B35417"/>
    <w:rsid w:val="00B42568"/>
    <w:rsid w:val="00B47FDF"/>
    <w:rsid w:val="00B62D7C"/>
    <w:rsid w:val="00B65132"/>
    <w:rsid w:val="00B66476"/>
    <w:rsid w:val="00B677FE"/>
    <w:rsid w:val="00B908C7"/>
    <w:rsid w:val="00B97E47"/>
    <w:rsid w:val="00BA3763"/>
    <w:rsid w:val="00BB03BD"/>
    <w:rsid w:val="00BB282B"/>
    <w:rsid w:val="00BC2050"/>
    <w:rsid w:val="00BC2AB9"/>
    <w:rsid w:val="00BC376C"/>
    <w:rsid w:val="00BC3E51"/>
    <w:rsid w:val="00BD108E"/>
    <w:rsid w:val="00BD53A2"/>
    <w:rsid w:val="00BD670D"/>
    <w:rsid w:val="00BD6DB6"/>
    <w:rsid w:val="00BF6EC0"/>
    <w:rsid w:val="00C04BD9"/>
    <w:rsid w:val="00C07F44"/>
    <w:rsid w:val="00C12EE4"/>
    <w:rsid w:val="00C147C9"/>
    <w:rsid w:val="00C27BF2"/>
    <w:rsid w:val="00C36C7A"/>
    <w:rsid w:val="00C36FE1"/>
    <w:rsid w:val="00C4639C"/>
    <w:rsid w:val="00C51FAF"/>
    <w:rsid w:val="00C52E09"/>
    <w:rsid w:val="00C552FE"/>
    <w:rsid w:val="00C56B5A"/>
    <w:rsid w:val="00C633F8"/>
    <w:rsid w:val="00C868B6"/>
    <w:rsid w:val="00C92EBE"/>
    <w:rsid w:val="00C9635F"/>
    <w:rsid w:val="00C975F3"/>
    <w:rsid w:val="00CA1F58"/>
    <w:rsid w:val="00CA6977"/>
    <w:rsid w:val="00CB4956"/>
    <w:rsid w:val="00CB7DFD"/>
    <w:rsid w:val="00CE3B45"/>
    <w:rsid w:val="00CE3E62"/>
    <w:rsid w:val="00CF0511"/>
    <w:rsid w:val="00CF385C"/>
    <w:rsid w:val="00CF7619"/>
    <w:rsid w:val="00D002AF"/>
    <w:rsid w:val="00D00414"/>
    <w:rsid w:val="00D01290"/>
    <w:rsid w:val="00D02501"/>
    <w:rsid w:val="00D028C5"/>
    <w:rsid w:val="00D052B8"/>
    <w:rsid w:val="00D14425"/>
    <w:rsid w:val="00D2173F"/>
    <w:rsid w:val="00D229F5"/>
    <w:rsid w:val="00D30B45"/>
    <w:rsid w:val="00D31210"/>
    <w:rsid w:val="00D368A4"/>
    <w:rsid w:val="00D406CC"/>
    <w:rsid w:val="00D420EB"/>
    <w:rsid w:val="00D540C8"/>
    <w:rsid w:val="00D567C6"/>
    <w:rsid w:val="00D603FB"/>
    <w:rsid w:val="00D65AB3"/>
    <w:rsid w:val="00D729A6"/>
    <w:rsid w:val="00D86E1B"/>
    <w:rsid w:val="00D90466"/>
    <w:rsid w:val="00D93DF1"/>
    <w:rsid w:val="00DA0A33"/>
    <w:rsid w:val="00DB3E8F"/>
    <w:rsid w:val="00DB5070"/>
    <w:rsid w:val="00DB51F9"/>
    <w:rsid w:val="00DC1AF9"/>
    <w:rsid w:val="00DC294A"/>
    <w:rsid w:val="00DD36A7"/>
    <w:rsid w:val="00DD6052"/>
    <w:rsid w:val="00DE0B98"/>
    <w:rsid w:val="00DE381C"/>
    <w:rsid w:val="00DE593D"/>
    <w:rsid w:val="00DF3BEB"/>
    <w:rsid w:val="00DF4CE3"/>
    <w:rsid w:val="00E03130"/>
    <w:rsid w:val="00E03658"/>
    <w:rsid w:val="00E107CC"/>
    <w:rsid w:val="00E168C6"/>
    <w:rsid w:val="00E275FA"/>
    <w:rsid w:val="00E27B15"/>
    <w:rsid w:val="00E306D6"/>
    <w:rsid w:val="00E318DF"/>
    <w:rsid w:val="00E3190A"/>
    <w:rsid w:val="00E33D12"/>
    <w:rsid w:val="00E36898"/>
    <w:rsid w:val="00E36FAA"/>
    <w:rsid w:val="00E37428"/>
    <w:rsid w:val="00E440A8"/>
    <w:rsid w:val="00E46D82"/>
    <w:rsid w:val="00E526FA"/>
    <w:rsid w:val="00E576F4"/>
    <w:rsid w:val="00E67160"/>
    <w:rsid w:val="00E76130"/>
    <w:rsid w:val="00E83407"/>
    <w:rsid w:val="00E900C5"/>
    <w:rsid w:val="00E90227"/>
    <w:rsid w:val="00E91232"/>
    <w:rsid w:val="00E953FC"/>
    <w:rsid w:val="00EC1AB4"/>
    <w:rsid w:val="00EC3C2F"/>
    <w:rsid w:val="00EC50CF"/>
    <w:rsid w:val="00EC5EE4"/>
    <w:rsid w:val="00EC6427"/>
    <w:rsid w:val="00EC7B25"/>
    <w:rsid w:val="00ED289B"/>
    <w:rsid w:val="00ED5550"/>
    <w:rsid w:val="00ED5573"/>
    <w:rsid w:val="00EE1D67"/>
    <w:rsid w:val="00EE2322"/>
    <w:rsid w:val="00EE40D1"/>
    <w:rsid w:val="00EE4F6F"/>
    <w:rsid w:val="00EE68DF"/>
    <w:rsid w:val="00EF5CE3"/>
    <w:rsid w:val="00F06A8A"/>
    <w:rsid w:val="00F06B4D"/>
    <w:rsid w:val="00F102EA"/>
    <w:rsid w:val="00F23152"/>
    <w:rsid w:val="00F23FA8"/>
    <w:rsid w:val="00F43CF5"/>
    <w:rsid w:val="00F4599E"/>
    <w:rsid w:val="00F51203"/>
    <w:rsid w:val="00F5226C"/>
    <w:rsid w:val="00F6691E"/>
    <w:rsid w:val="00F673E5"/>
    <w:rsid w:val="00F70910"/>
    <w:rsid w:val="00F74921"/>
    <w:rsid w:val="00F83363"/>
    <w:rsid w:val="00F847C4"/>
    <w:rsid w:val="00F8793E"/>
    <w:rsid w:val="00F91373"/>
    <w:rsid w:val="00F913E9"/>
    <w:rsid w:val="00F91D9B"/>
    <w:rsid w:val="00F966D4"/>
    <w:rsid w:val="00F97FF1"/>
    <w:rsid w:val="00FA1943"/>
    <w:rsid w:val="00FA3AB4"/>
    <w:rsid w:val="00FA43CA"/>
    <w:rsid w:val="00FA4460"/>
    <w:rsid w:val="00FB0D2D"/>
    <w:rsid w:val="00FB7B21"/>
    <w:rsid w:val="00FC739E"/>
    <w:rsid w:val="00FE2338"/>
    <w:rsid w:val="00FF02CE"/>
    <w:rsid w:val="00FF7EB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semiHidden="0" w:uiPriority="0" w:unhideWhenUsed="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0414"/>
    <w:pPr>
      <w:jc w:val="both"/>
    </w:pPr>
    <w:rPr>
      <w:rFonts w:eastAsia="MS Mincho"/>
      <w:sz w:val="24"/>
      <w:lang w:val="en-US" w:eastAsia="en-US"/>
    </w:rPr>
  </w:style>
  <w:style w:type="paragraph" w:styleId="Heading1">
    <w:name w:val="heading 1"/>
    <w:basedOn w:val="Normal"/>
    <w:next w:val="Normal"/>
    <w:link w:val="Heading1Char"/>
    <w:uiPriority w:val="99"/>
    <w:qFormat/>
    <w:rsid w:val="00D00414"/>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D00414"/>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D00414"/>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D00414"/>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D00414"/>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D00414"/>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D00414"/>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D00414"/>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D00414"/>
    <w:pPr>
      <w:outlineLvl w:val="8"/>
    </w:pPr>
    <w:rPr>
      <w:rFonts w:eastAsia="MS Gothic"/>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00414"/>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semiHidden/>
    <w:locked/>
    <w:rsid w:val="00D00414"/>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semiHidden/>
    <w:locked/>
    <w:rsid w:val="00D00414"/>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semiHidden/>
    <w:locked/>
    <w:rsid w:val="00D00414"/>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semiHidden/>
    <w:locked/>
    <w:rsid w:val="00D00414"/>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D00414"/>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semiHidden/>
    <w:locked/>
    <w:rsid w:val="00D00414"/>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D00414"/>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D00414"/>
    <w:rPr>
      <w:rFonts w:ascii="Times New Roman" w:eastAsia="MS Gothic" w:hAnsi="Times New Roman" w:cs="Times New Roman"/>
      <w:i/>
      <w:iCs/>
      <w:spacing w:val="5"/>
      <w:sz w:val="20"/>
      <w:szCs w:val="20"/>
    </w:rPr>
  </w:style>
  <w:style w:type="paragraph" w:customStyle="1" w:styleId="ECHRHeading1">
    <w:name w:val="ECHR_Heading_1"/>
    <w:aliases w:val="Ju_H_I_Roman"/>
    <w:basedOn w:val="Heading1"/>
    <w:next w:val="ECHRPara"/>
    <w:link w:val="JuHIRomanChar"/>
    <w:uiPriority w:val="99"/>
    <w:rsid w:val="00D00414"/>
    <w:pPr>
      <w:keepNext/>
      <w:keepLines/>
      <w:tabs>
        <w:tab w:val="left" w:pos="357"/>
      </w:tabs>
      <w:spacing w:before="360" w:after="240"/>
      <w:ind w:left="357" w:hanging="357"/>
      <w:contextualSpacing w:val="0"/>
    </w:pPr>
    <w:rPr>
      <w:b w:val="0"/>
      <w:color w:val="auto"/>
      <w:sz w:val="24"/>
      <w:lang w:val="it-IT" w:eastAsia="ja-JP"/>
    </w:rPr>
  </w:style>
  <w:style w:type="paragraph" w:customStyle="1" w:styleId="ECHRTitle1">
    <w:name w:val="ECHR_Title_1"/>
    <w:aliases w:val="Ju_H_Head"/>
    <w:basedOn w:val="Normal"/>
    <w:next w:val="ECHRPara"/>
    <w:uiPriority w:val="99"/>
    <w:rsid w:val="00D00414"/>
    <w:pPr>
      <w:keepNext/>
      <w:keepLines/>
      <w:spacing w:before="720" w:after="240"/>
      <w:outlineLvl w:val="0"/>
    </w:pPr>
    <w:rPr>
      <w:sz w:val="28"/>
      <w:lang w:val="fr-FR" w:eastAsia="fr-FR"/>
    </w:rPr>
  </w:style>
  <w:style w:type="paragraph" w:customStyle="1" w:styleId="ECHRPara">
    <w:name w:val="ECHR_Para"/>
    <w:aliases w:val="Ju_Para,Left,First line:  0 cm"/>
    <w:basedOn w:val="Normal"/>
    <w:link w:val="JuParaCar"/>
    <w:uiPriority w:val="99"/>
    <w:rsid w:val="00D00414"/>
    <w:pPr>
      <w:ind w:firstLine="284"/>
    </w:pPr>
    <w:rPr>
      <w:szCs w:val="20"/>
      <w:lang w:val="it-IT" w:eastAsia="ja-JP"/>
    </w:rPr>
  </w:style>
  <w:style w:type="character" w:customStyle="1" w:styleId="JuParaCar">
    <w:name w:val="Ju_Para Car"/>
    <w:link w:val="ECHRPara"/>
    <w:uiPriority w:val="99"/>
    <w:locked/>
    <w:rsid w:val="009D29DE"/>
    <w:rPr>
      <w:rFonts w:eastAsia="MS Mincho"/>
      <w:sz w:val="24"/>
    </w:rPr>
  </w:style>
  <w:style w:type="character" w:customStyle="1" w:styleId="JuHIRomanChar">
    <w:name w:val="Ju_H_I_Roman Char"/>
    <w:link w:val="ECHRHeading1"/>
    <w:uiPriority w:val="99"/>
    <w:locked/>
    <w:rsid w:val="00D31210"/>
    <w:rPr>
      <w:rFonts w:ascii="Times New Roman" w:eastAsia="MS Gothic" w:hAnsi="Times New Roman"/>
      <w:sz w:val="28"/>
    </w:rPr>
  </w:style>
  <w:style w:type="paragraph" w:styleId="Footer">
    <w:name w:val="footer"/>
    <w:basedOn w:val="Normal"/>
    <w:link w:val="FooterChar"/>
    <w:uiPriority w:val="99"/>
    <w:semiHidden/>
    <w:rsid w:val="00D00414"/>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D00414"/>
    <w:rPr>
      <w:rFonts w:cs="Times New Roman"/>
      <w:sz w:val="24"/>
      <w:lang w:val="en-US" w:eastAsia="en-US"/>
    </w:rPr>
  </w:style>
  <w:style w:type="paragraph" w:customStyle="1" w:styleId="ECHRDecisionBody">
    <w:name w:val="ECHR_Decision_Body"/>
    <w:aliases w:val="Ju_Judges"/>
    <w:basedOn w:val="Normal"/>
    <w:link w:val="JuJudgesChar"/>
    <w:uiPriority w:val="99"/>
    <w:rsid w:val="00D00414"/>
    <w:pPr>
      <w:tabs>
        <w:tab w:val="left" w:pos="567"/>
        <w:tab w:val="left" w:pos="1134"/>
      </w:tabs>
      <w:jc w:val="left"/>
    </w:pPr>
    <w:rPr>
      <w:szCs w:val="20"/>
      <w:lang w:val="it-IT" w:eastAsia="ja-JP"/>
    </w:rPr>
  </w:style>
  <w:style w:type="character" w:customStyle="1" w:styleId="JuJudgesChar">
    <w:name w:val="Ju_Judges Char"/>
    <w:link w:val="ECHRDecisionBody"/>
    <w:uiPriority w:val="99"/>
    <w:locked/>
    <w:rsid w:val="00287191"/>
    <w:rPr>
      <w:rFonts w:eastAsia="MS Mincho"/>
      <w:sz w:val="24"/>
    </w:rPr>
  </w:style>
  <w:style w:type="character" w:styleId="Strong">
    <w:name w:val="Strong"/>
    <w:basedOn w:val="DefaultParagraphFont"/>
    <w:uiPriority w:val="99"/>
    <w:qFormat/>
    <w:rsid w:val="00D00414"/>
    <w:rPr>
      <w:rFonts w:cs="Times New Roman"/>
      <w:b/>
    </w:rPr>
  </w:style>
  <w:style w:type="paragraph" w:customStyle="1" w:styleId="ECHRHeading2">
    <w:name w:val="ECHR_Heading_2"/>
    <w:aliases w:val="Ju_H_A"/>
    <w:basedOn w:val="Heading2"/>
    <w:next w:val="ECHRPara"/>
    <w:uiPriority w:val="99"/>
    <w:rsid w:val="00D0041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99"/>
    <w:rsid w:val="00D00414"/>
    <w:pPr>
      <w:spacing w:before="120" w:after="120"/>
      <w:ind w:left="425" w:firstLine="142"/>
    </w:pPr>
    <w:rPr>
      <w:sz w:val="20"/>
      <w:lang w:val="fr-FR" w:eastAsia="fr-FR"/>
    </w:rPr>
  </w:style>
  <w:style w:type="paragraph" w:customStyle="1" w:styleId="JuSigned">
    <w:name w:val="Ju_Signed"/>
    <w:basedOn w:val="Normal"/>
    <w:next w:val="JuParaLast"/>
    <w:uiPriority w:val="99"/>
    <w:rsid w:val="00D0041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99"/>
    <w:rsid w:val="00D00414"/>
    <w:pPr>
      <w:keepNext/>
      <w:keepLines/>
      <w:spacing w:before="240"/>
      <w:ind w:firstLine="284"/>
    </w:pPr>
    <w:rPr>
      <w:lang w:val="fr-FR" w:eastAsia="fr-FR"/>
    </w:rPr>
  </w:style>
  <w:style w:type="paragraph" w:customStyle="1" w:styleId="JuCase">
    <w:name w:val="Ju_Case"/>
    <w:basedOn w:val="Normal"/>
    <w:next w:val="ECHRPara"/>
    <w:uiPriority w:val="99"/>
    <w:rsid w:val="00D00414"/>
    <w:pPr>
      <w:ind w:firstLine="284"/>
    </w:pPr>
    <w:rPr>
      <w:b/>
    </w:rPr>
  </w:style>
  <w:style w:type="paragraph" w:customStyle="1" w:styleId="JuList">
    <w:name w:val="Ju_List"/>
    <w:basedOn w:val="Normal"/>
    <w:uiPriority w:val="99"/>
    <w:rsid w:val="00D00414"/>
    <w:pPr>
      <w:ind w:left="340" w:hanging="340"/>
    </w:pPr>
    <w:rPr>
      <w:lang w:val="fr-FR" w:eastAsia="fr-FR"/>
    </w:rPr>
  </w:style>
  <w:style w:type="paragraph" w:customStyle="1" w:styleId="JuCourt">
    <w:name w:val="Ju_Court"/>
    <w:basedOn w:val="Normal"/>
    <w:next w:val="Normal"/>
    <w:uiPriority w:val="99"/>
    <w:rsid w:val="00D00414"/>
    <w:pPr>
      <w:tabs>
        <w:tab w:val="left" w:pos="907"/>
        <w:tab w:val="left" w:pos="1701"/>
        <w:tab w:val="right" w:pos="7371"/>
      </w:tabs>
      <w:spacing w:before="240"/>
      <w:ind w:left="397" w:hanging="397"/>
      <w:jc w:val="left"/>
    </w:pPr>
    <w:rPr>
      <w:lang w:val="fr-FR" w:eastAsia="fr-FR"/>
    </w:rPr>
  </w:style>
  <w:style w:type="paragraph" w:styleId="FootnoteText">
    <w:name w:val="footnote text"/>
    <w:basedOn w:val="Normal"/>
    <w:link w:val="FootnoteTextChar"/>
    <w:uiPriority w:val="99"/>
    <w:semiHidden/>
    <w:rsid w:val="00D00414"/>
    <w:rPr>
      <w:sz w:val="20"/>
      <w:szCs w:val="20"/>
    </w:rPr>
  </w:style>
  <w:style w:type="character" w:customStyle="1" w:styleId="FootnoteTextChar">
    <w:name w:val="Footnote Text Char"/>
    <w:basedOn w:val="DefaultParagraphFont"/>
    <w:link w:val="FootnoteText"/>
    <w:uiPriority w:val="99"/>
    <w:semiHidden/>
    <w:locked/>
    <w:rsid w:val="00D00414"/>
    <w:rPr>
      <w:rFonts w:eastAsia="MS Mincho" w:cs="Times New Roman"/>
      <w:sz w:val="20"/>
      <w:szCs w:val="20"/>
      <w:lang w:val="en-US" w:eastAsia="en-US"/>
    </w:rPr>
  </w:style>
  <w:style w:type="character" w:styleId="FootnoteReference">
    <w:name w:val="footnote reference"/>
    <w:basedOn w:val="DefaultParagraphFont"/>
    <w:uiPriority w:val="99"/>
    <w:semiHidden/>
    <w:rsid w:val="00D00414"/>
    <w:rPr>
      <w:rFonts w:cs="Times New Roman"/>
      <w:vertAlign w:val="superscript"/>
    </w:rPr>
  </w:style>
  <w:style w:type="paragraph" w:styleId="Header">
    <w:name w:val="header"/>
    <w:basedOn w:val="Normal"/>
    <w:link w:val="HeaderChar"/>
    <w:uiPriority w:val="99"/>
    <w:semiHidden/>
    <w:rsid w:val="00D00414"/>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D00414"/>
    <w:rPr>
      <w:rFonts w:cs="Times New Roman"/>
      <w:sz w:val="24"/>
      <w:lang w:val="en-US" w:eastAsia="en-US"/>
    </w:rPr>
  </w:style>
  <w:style w:type="character" w:styleId="PageNumber">
    <w:name w:val="page number"/>
    <w:basedOn w:val="DefaultParagraphFont"/>
    <w:uiPriority w:val="99"/>
    <w:semiHidden/>
    <w:rsid w:val="004219F0"/>
    <w:rPr>
      <w:rFonts w:ascii="Times New Roman" w:hAnsi="Times New Roman" w:cs="Times New Roman"/>
      <w:sz w:val="18"/>
    </w:rPr>
  </w:style>
  <w:style w:type="paragraph" w:customStyle="1" w:styleId="JuLista">
    <w:name w:val="Ju_List_a"/>
    <w:basedOn w:val="JuList"/>
    <w:uiPriority w:val="99"/>
    <w:rsid w:val="00D00414"/>
    <w:pPr>
      <w:ind w:left="346" w:firstLine="0"/>
    </w:pPr>
  </w:style>
  <w:style w:type="paragraph" w:customStyle="1" w:styleId="JuListi">
    <w:name w:val="Ju_List_i"/>
    <w:basedOn w:val="Normal"/>
    <w:next w:val="JuLista"/>
    <w:uiPriority w:val="99"/>
    <w:rsid w:val="00D00414"/>
    <w:pPr>
      <w:ind w:left="794"/>
    </w:pPr>
    <w:rPr>
      <w:lang w:val="fr-FR" w:eastAsia="fr-FR"/>
    </w:rPr>
  </w:style>
  <w:style w:type="character" w:styleId="CommentReference">
    <w:name w:val="annotation reference"/>
    <w:basedOn w:val="DefaultParagraphFont"/>
    <w:uiPriority w:val="99"/>
    <w:semiHidden/>
    <w:rsid w:val="00FE2338"/>
    <w:rPr>
      <w:rFonts w:cs="Times New Roman"/>
      <w:sz w:val="16"/>
    </w:rPr>
  </w:style>
  <w:style w:type="paragraph" w:styleId="CommentText">
    <w:name w:val="annotation text"/>
    <w:basedOn w:val="Normal"/>
    <w:link w:val="CommentTextChar"/>
    <w:uiPriority w:val="99"/>
    <w:semiHidden/>
    <w:rsid w:val="00FE2338"/>
    <w:rPr>
      <w:sz w:val="20"/>
    </w:rPr>
  </w:style>
  <w:style w:type="character" w:customStyle="1" w:styleId="CommentTextChar">
    <w:name w:val="Comment Text Char"/>
    <w:basedOn w:val="DefaultParagraphFont"/>
    <w:link w:val="CommentText"/>
    <w:uiPriority w:val="99"/>
    <w:semiHidden/>
    <w:rsid w:val="00B667EB"/>
    <w:rPr>
      <w:rFonts w:eastAsia="MS Mincho"/>
      <w:sz w:val="20"/>
      <w:szCs w:val="20"/>
      <w:lang w:val="en-US" w:eastAsia="en-US"/>
    </w:rPr>
  </w:style>
  <w:style w:type="paragraph" w:styleId="BalloonText">
    <w:name w:val="Balloon Text"/>
    <w:basedOn w:val="Normal"/>
    <w:link w:val="BalloonTextChar"/>
    <w:uiPriority w:val="99"/>
    <w:semiHidden/>
    <w:rsid w:val="00D00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414"/>
    <w:rPr>
      <w:rFonts w:ascii="Tahoma" w:eastAsia="MS Mincho" w:hAnsi="Tahoma" w:cs="Tahoma"/>
      <w:sz w:val="16"/>
      <w:szCs w:val="16"/>
      <w:lang w:val="en-US" w:eastAsia="en-US"/>
    </w:rPr>
  </w:style>
  <w:style w:type="character" w:styleId="Hyperlink">
    <w:name w:val="Hyperlink"/>
    <w:basedOn w:val="DefaultParagraphFont"/>
    <w:uiPriority w:val="99"/>
    <w:semiHidden/>
    <w:rsid w:val="00D00414"/>
    <w:rPr>
      <w:rFonts w:cs="Times New Roman"/>
      <w:color w:val="0072BC"/>
      <w:u w:val="single"/>
    </w:rPr>
  </w:style>
  <w:style w:type="character" w:styleId="EndnoteReference">
    <w:name w:val="endnote reference"/>
    <w:basedOn w:val="DefaultParagraphFont"/>
    <w:uiPriority w:val="99"/>
    <w:semiHidden/>
    <w:rsid w:val="004219F0"/>
    <w:rPr>
      <w:rFonts w:ascii="Times New Roman" w:hAnsi="Times New Roman" w:cs="Times New Roman"/>
      <w:vertAlign w:val="superscript"/>
    </w:rPr>
  </w:style>
  <w:style w:type="paragraph" w:styleId="EndnoteText">
    <w:name w:val="endnote text"/>
    <w:basedOn w:val="Normal"/>
    <w:link w:val="EndnoteTextChar"/>
    <w:uiPriority w:val="99"/>
    <w:semiHidden/>
    <w:rsid w:val="004219F0"/>
    <w:rPr>
      <w:sz w:val="20"/>
    </w:rPr>
  </w:style>
  <w:style w:type="character" w:customStyle="1" w:styleId="EndnoteTextChar">
    <w:name w:val="Endnote Text Char"/>
    <w:basedOn w:val="DefaultParagraphFont"/>
    <w:link w:val="EndnoteText"/>
    <w:uiPriority w:val="99"/>
    <w:semiHidden/>
    <w:rsid w:val="00B667EB"/>
    <w:rPr>
      <w:rFonts w:eastAsia="MS Mincho"/>
      <w:sz w:val="20"/>
      <w:szCs w:val="20"/>
      <w:lang w:val="en-US" w:eastAsia="en-US"/>
    </w:rPr>
  </w:style>
  <w:style w:type="character" w:styleId="FollowedHyperlink">
    <w:name w:val="FollowedHyperlink"/>
    <w:basedOn w:val="DefaultParagraphFont"/>
    <w:uiPriority w:val="99"/>
    <w:semiHidden/>
    <w:rsid w:val="004219F0"/>
    <w:rPr>
      <w:rFonts w:ascii="Times New Roman" w:hAnsi="Times New Roman" w:cs="Times New Roman"/>
      <w:color w:val="800080"/>
      <w:u w:val="single"/>
    </w:rPr>
  </w:style>
  <w:style w:type="paragraph" w:styleId="ListBullet">
    <w:name w:val="List Bullet"/>
    <w:basedOn w:val="Normal"/>
    <w:uiPriority w:val="99"/>
    <w:semiHidden/>
    <w:rsid w:val="00387F24"/>
    <w:pPr>
      <w:numPr>
        <w:numId w:val="11"/>
      </w:numPr>
    </w:pPr>
  </w:style>
  <w:style w:type="character" w:customStyle="1" w:styleId="JuNames">
    <w:name w:val="Ju_Names"/>
    <w:uiPriority w:val="99"/>
    <w:rsid w:val="004219F0"/>
    <w:rPr>
      <w:rFonts w:ascii="Times New Roman" w:hAnsi="Times New Roman"/>
      <w:smallCaps/>
    </w:rPr>
  </w:style>
  <w:style w:type="paragraph" w:styleId="CommentSubject">
    <w:name w:val="annotation subject"/>
    <w:basedOn w:val="CommentText"/>
    <w:next w:val="CommentText"/>
    <w:link w:val="CommentSubjectChar"/>
    <w:uiPriority w:val="99"/>
    <w:semiHidden/>
    <w:rsid w:val="00E27B15"/>
    <w:rPr>
      <w:b/>
      <w:bCs/>
    </w:rPr>
  </w:style>
  <w:style w:type="character" w:customStyle="1" w:styleId="CommentSubjectChar">
    <w:name w:val="Comment Subject Char"/>
    <w:basedOn w:val="CommentTextChar"/>
    <w:link w:val="CommentSubject"/>
    <w:uiPriority w:val="99"/>
    <w:semiHidden/>
    <w:rsid w:val="00B667EB"/>
    <w:rPr>
      <w:b/>
      <w:bCs/>
    </w:rPr>
  </w:style>
  <w:style w:type="paragraph" w:styleId="DocumentMap">
    <w:name w:val="Document Map"/>
    <w:basedOn w:val="Normal"/>
    <w:link w:val="DocumentMapChar"/>
    <w:uiPriority w:val="99"/>
    <w:semiHidden/>
    <w:rsid w:val="00B33C5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B667EB"/>
    <w:rPr>
      <w:rFonts w:eastAsia="MS Mincho"/>
      <w:sz w:val="0"/>
      <w:szCs w:val="0"/>
      <w:lang w:val="en-US" w:eastAsia="en-US"/>
    </w:rPr>
  </w:style>
  <w:style w:type="character" w:customStyle="1" w:styleId="JuITMark">
    <w:name w:val="Ju_ITMark"/>
    <w:basedOn w:val="DefaultParagraphFont"/>
    <w:uiPriority w:val="99"/>
    <w:rsid w:val="00D00414"/>
    <w:rPr>
      <w:rFonts w:cs="Times New Roman"/>
      <w:vanish/>
      <w:color w:val="339966"/>
      <w:sz w:val="14"/>
    </w:rPr>
  </w:style>
  <w:style w:type="character" w:styleId="BookTitle">
    <w:name w:val="Book Title"/>
    <w:basedOn w:val="DefaultParagraphFont"/>
    <w:uiPriority w:val="99"/>
    <w:qFormat/>
    <w:rsid w:val="00D00414"/>
    <w:rPr>
      <w:i/>
      <w:smallCaps/>
      <w:spacing w:val="5"/>
    </w:rPr>
  </w:style>
  <w:style w:type="paragraph" w:styleId="NoSpacing">
    <w:name w:val="No Spacing"/>
    <w:basedOn w:val="Normal"/>
    <w:link w:val="NoSpacingChar"/>
    <w:uiPriority w:val="99"/>
    <w:qFormat/>
    <w:rsid w:val="00D00414"/>
    <w:rPr>
      <w:sz w:val="22"/>
      <w:lang w:val="fr-FR" w:eastAsia="fr-FR"/>
    </w:rPr>
  </w:style>
  <w:style w:type="character" w:customStyle="1" w:styleId="NoSpacingChar">
    <w:name w:val="No Spacing Char"/>
    <w:basedOn w:val="DefaultParagraphFont"/>
    <w:link w:val="NoSpacing"/>
    <w:uiPriority w:val="99"/>
    <w:semiHidden/>
    <w:locked/>
    <w:rsid w:val="00D00414"/>
    <w:rPr>
      <w:rFonts w:eastAsia="MS Mincho" w:cs="Times New Roman"/>
    </w:rPr>
  </w:style>
  <w:style w:type="paragraph" w:styleId="Title">
    <w:name w:val="Title"/>
    <w:basedOn w:val="Normal"/>
    <w:next w:val="Normal"/>
    <w:link w:val="TitleChar"/>
    <w:uiPriority w:val="99"/>
    <w:qFormat/>
    <w:rsid w:val="00D00414"/>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semiHidden/>
    <w:locked/>
    <w:rsid w:val="00D00414"/>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D00414"/>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semiHidden/>
    <w:locked/>
    <w:rsid w:val="00D00414"/>
    <w:rPr>
      <w:rFonts w:ascii="Times New Roman" w:eastAsia="MS Gothic" w:hAnsi="Times New Roman" w:cs="Times New Roman"/>
      <w:i/>
      <w:iCs/>
      <w:spacing w:val="13"/>
      <w:sz w:val="24"/>
      <w:szCs w:val="24"/>
    </w:rPr>
  </w:style>
  <w:style w:type="paragraph" w:customStyle="1" w:styleId="ECHRFooter">
    <w:name w:val="ECHR_Footer"/>
    <w:aliases w:val="Footer_ECHR"/>
    <w:basedOn w:val="Footer"/>
    <w:uiPriority w:val="99"/>
    <w:semiHidden/>
    <w:rsid w:val="00D00414"/>
    <w:pPr>
      <w:jc w:val="left"/>
    </w:pPr>
    <w:rPr>
      <w:sz w:val="8"/>
    </w:rPr>
  </w:style>
  <w:style w:type="paragraph" w:customStyle="1" w:styleId="ECHRFooterLine">
    <w:name w:val="ECHR_Footer_Line"/>
    <w:aliases w:val="Footer_Line"/>
    <w:basedOn w:val="Normal"/>
    <w:next w:val="ECHRFooter"/>
    <w:uiPriority w:val="99"/>
    <w:semiHidden/>
    <w:rsid w:val="00D00414"/>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D00414"/>
    <w:pPr>
      <w:tabs>
        <w:tab w:val="clear" w:pos="4536"/>
        <w:tab w:val="clear" w:pos="9072"/>
        <w:tab w:val="center" w:pos="3686"/>
        <w:tab w:val="right" w:pos="7371"/>
      </w:tabs>
      <w:jc w:val="left"/>
    </w:pPr>
    <w:rPr>
      <w:sz w:val="18"/>
      <w:lang w:val="fr-FR" w:eastAsia="fr-FR"/>
    </w:rPr>
  </w:style>
  <w:style w:type="character" w:styleId="SubtleEmphasis">
    <w:name w:val="Subtle Emphasis"/>
    <w:basedOn w:val="DefaultParagraphFont"/>
    <w:uiPriority w:val="99"/>
    <w:qFormat/>
    <w:rsid w:val="00D00414"/>
    <w:rPr>
      <w:i/>
    </w:rPr>
  </w:style>
  <w:style w:type="character" w:styleId="Emphasis">
    <w:name w:val="Emphasis"/>
    <w:basedOn w:val="DefaultParagraphFont"/>
    <w:uiPriority w:val="99"/>
    <w:qFormat/>
    <w:rsid w:val="00D00414"/>
    <w:rPr>
      <w:rFonts w:cs="Times New Roman"/>
      <w:b/>
      <w:i/>
      <w:spacing w:val="10"/>
      <w:shd w:val="clear" w:color="auto" w:fill="auto"/>
    </w:rPr>
  </w:style>
  <w:style w:type="character" w:styleId="IntenseEmphasis">
    <w:name w:val="Intense Emphasis"/>
    <w:basedOn w:val="DefaultParagraphFont"/>
    <w:uiPriority w:val="99"/>
    <w:qFormat/>
    <w:rsid w:val="00D00414"/>
    <w:rPr>
      <w:b/>
    </w:rPr>
  </w:style>
  <w:style w:type="paragraph" w:styleId="IntenseQuote">
    <w:name w:val="Intense Quote"/>
    <w:basedOn w:val="Normal"/>
    <w:next w:val="Normal"/>
    <w:link w:val="IntenseQuoteChar"/>
    <w:uiPriority w:val="99"/>
    <w:qFormat/>
    <w:rsid w:val="00D00414"/>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semiHidden/>
    <w:locked/>
    <w:rsid w:val="00D00414"/>
    <w:rPr>
      <w:rFonts w:eastAsia="MS Mincho" w:cs="Times New Roman"/>
      <w:b/>
      <w:bCs/>
      <w:i/>
      <w:iCs/>
    </w:rPr>
  </w:style>
  <w:style w:type="character" w:styleId="IntenseReference">
    <w:name w:val="Intense Reference"/>
    <w:basedOn w:val="DefaultParagraphFont"/>
    <w:uiPriority w:val="99"/>
    <w:qFormat/>
    <w:rsid w:val="00D00414"/>
    <w:rPr>
      <w:smallCaps/>
      <w:spacing w:val="5"/>
      <w:u w:val="single"/>
    </w:rPr>
  </w:style>
  <w:style w:type="paragraph" w:customStyle="1" w:styleId="JuAppQuestion">
    <w:name w:val="Ju_App_Question"/>
    <w:basedOn w:val="Normal"/>
    <w:uiPriority w:val="99"/>
    <w:semiHidden/>
    <w:rsid w:val="00D00414"/>
    <w:pPr>
      <w:numPr>
        <w:numId w:val="22"/>
      </w:numPr>
      <w:jc w:val="left"/>
    </w:pPr>
    <w:rPr>
      <w:b/>
    </w:rPr>
  </w:style>
  <w:style w:type="paragraph" w:customStyle="1" w:styleId="OpiPara">
    <w:name w:val="Opi_Para"/>
    <w:basedOn w:val="ECHRPara"/>
    <w:uiPriority w:val="99"/>
    <w:rsid w:val="00D00414"/>
  </w:style>
  <w:style w:type="paragraph" w:customStyle="1" w:styleId="JuParaSub">
    <w:name w:val="Ju_Para_Sub"/>
    <w:basedOn w:val="ECHRPara"/>
    <w:uiPriority w:val="99"/>
    <w:rsid w:val="00D00414"/>
    <w:pPr>
      <w:ind w:left="284"/>
    </w:pPr>
  </w:style>
  <w:style w:type="paragraph" w:customStyle="1" w:styleId="OpiParaSub">
    <w:name w:val="Opi_Para_Sub"/>
    <w:basedOn w:val="JuParaSub"/>
    <w:uiPriority w:val="99"/>
    <w:rsid w:val="00D00414"/>
  </w:style>
  <w:style w:type="paragraph" w:customStyle="1" w:styleId="OpiQuot">
    <w:name w:val="Opi_Quot"/>
    <w:basedOn w:val="ECHRParaQuote"/>
    <w:uiPriority w:val="99"/>
    <w:rsid w:val="00D00414"/>
  </w:style>
  <w:style w:type="paragraph" w:customStyle="1" w:styleId="OpiQuotSub">
    <w:name w:val="Opi_Quot_Sub"/>
    <w:basedOn w:val="JuQuotSub"/>
    <w:uiPriority w:val="99"/>
    <w:rsid w:val="00D00414"/>
  </w:style>
  <w:style w:type="paragraph" w:styleId="ListParagraph">
    <w:name w:val="List Paragraph"/>
    <w:basedOn w:val="Normal"/>
    <w:uiPriority w:val="99"/>
    <w:qFormat/>
    <w:rsid w:val="00D00414"/>
    <w:pPr>
      <w:ind w:left="720"/>
      <w:contextualSpacing/>
    </w:pPr>
    <w:rPr>
      <w:lang w:val="fr-FR" w:eastAsia="fr-FR"/>
    </w:rPr>
  </w:style>
  <w:style w:type="paragraph" w:styleId="Quote">
    <w:name w:val="Quote"/>
    <w:basedOn w:val="Normal"/>
    <w:next w:val="Normal"/>
    <w:link w:val="QuoteChar"/>
    <w:uiPriority w:val="99"/>
    <w:qFormat/>
    <w:rsid w:val="00D00414"/>
    <w:pPr>
      <w:spacing w:before="200"/>
      <w:ind w:left="360" w:right="360"/>
    </w:pPr>
    <w:rPr>
      <w:i/>
      <w:iCs/>
      <w:sz w:val="22"/>
      <w:lang w:val="fr-FR" w:eastAsia="fr-FR"/>
    </w:rPr>
  </w:style>
  <w:style w:type="character" w:customStyle="1" w:styleId="QuoteChar">
    <w:name w:val="Quote Char"/>
    <w:basedOn w:val="DefaultParagraphFont"/>
    <w:link w:val="Quote"/>
    <w:uiPriority w:val="99"/>
    <w:semiHidden/>
    <w:locked/>
    <w:rsid w:val="00D00414"/>
    <w:rPr>
      <w:rFonts w:eastAsia="MS Mincho" w:cs="Times New Roman"/>
      <w:i/>
      <w:iCs/>
    </w:rPr>
  </w:style>
  <w:style w:type="character" w:styleId="SubtleReference">
    <w:name w:val="Subtle Reference"/>
    <w:basedOn w:val="DefaultParagraphFont"/>
    <w:uiPriority w:val="99"/>
    <w:qFormat/>
    <w:rsid w:val="00D00414"/>
    <w:rPr>
      <w:smallCaps/>
    </w:rPr>
  </w:style>
  <w:style w:type="table" w:styleId="TableGrid">
    <w:name w:val="Table Grid"/>
    <w:basedOn w:val="TableNormal"/>
    <w:uiPriority w:val="99"/>
    <w:semiHidden/>
    <w:rsid w:val="00D00414"/>
    <w:rPr>
      <w:rFonts w:eastAsia="MS Minch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00414"/>
    <w:pPr>
      <w:spacing w:before="120" w:after="60"/>
      <w:ind w:left="340" w:right="340" w:hanging="340"/>
    </w:pPr>
    <w:rPr>
      <w:color w:val="0D0D0D"/>
    </w:rPr>
  </w:style>
  <w:style w:type="paragraph" w:styleId="TOC2">
    <w:name w:val="toc 2"/>
    <w:basedOn w:val="Normal"/>
    <w:next w:val="Normal"/>
    <w:autoRedefine/>
    <w:uiPriority w:val="99"/>
    <w:semiHidden/>
    <w:rsid w:val="00D00414"/>
    <w:pPr>
      <w:spacing w:after="60"/>
      <w:ind w:left="680" w:right="340" w:hanging="340"/>
    </w:pPr>
  </w:style>
  <w:style w:type="paragraph" w:styleId="TOC3">
    <w:name w:val="toc 3"/>
    <w:basedOn w:val="Normal"/>
    <w:next w:val="Normal"/>
    <w:autoRedefine/>
    <w:uiPriority w:val="99"/>
    <w:semiHidden/>
    <w:rsid w:val="00D00414"/>
    <w:pPr>
      <w:spacing w:after="60"/>
      <w:ind w:left="1020" w:right="340" w:hanging="340"/>
    </w:pPr>
  </w:style>
  <w:style w:type="paragraph" w:styleId="TOC4">
    <w:name w:val="toc 4"/>
    <w:basedOn w:val="Normal"/>
    <w:next w:val="Normal"/>
    <w:autoRedefine/>
    <w:uiPriority w:val="99"/>
    <w:semiHidden/>
    <w:rsid w:val="00D00414"/>
    <w:pPr>
      <w:tabs>
        <w:tab w:val="right" w:leader="dot" w:pos="9017"/>
      </w:tabs>
      <w:spacing w:after="60"/>
      <w:ind w:left="1361" w:right="340" w:hanging="340"/>
    </w:pPr>
  </w:style>
  <w:style w:type="paragraph" w:styleId="TOC5">
    <w:name w:val="toc 5"/>
    <w:basedOn w:val="Normal"/>
    <w:next w:val="Normal"/>
    <w:autoRedefine/>
    <w:uiPriority w:val="99"/>
    <w:semiHidden/>
    <w:rsid w:val="00D00414"/>
    <w:pPr>
      <w:spacing w:after="60"/>
      <w:ind w:left="1701" w:right="340" w:hanging="340"/>
    </w:pPr>
  </w:style>
  <w:style w:type="paragraph" w:styleId="TOCHeading">
    <w:name w:val="TOC Heading"/>
    <w:basedOn w:val="Heading1"/>
    <w:next w:val="Normal"/>
    <w:uiPriority w:val="99"/>
    <w:qFormat/>
    <w:rsid w:val="00D00414"/>
    <w:pPr>
      <w:outlineLvl w:val="9"/>
    </w:pPr>
    <w:rPr>
      <w:color w:val="474747"/>
      <w:lang w:val="fr-FR" w:eastAsia="fr-FR"/>
    </w:rPr>
  </w:style>
  <w:style w:type="paragraph" w:customStyle="1" w:styleId="ECHRTitleCentre3">
    <w:name w:val="ECHR_Title_Centre_3"/>
    <w:aliases w:val="Ju_H_Article"/>
    <w:basedOn w:val="Normal"/>
    <w:next w:val="ECHRParaQuote"/>
    <w:uiPriority w:val="99"/>
    <w:rsid w:val="00D00414"/>
    <w:pPr>
      <w:keepNext/>
      <w:keepLines/>
      <w:spacing w:before="240" w:after="120"/>
      <w:jc w:val="center"/>
      <w:outlineLvl w:val="3"/>
    </w:pPr>
    <w:rPr>
      <w:b/>
      <w:sz w:val="20"/>
      <w:lang w:val="fr-FR" w:eastAsia="fr-FR"/>
    </w:rPr>
  </w:style>
  <w:style w:type="paragraph" w:customStyle="1" w:styleId="ECHRTitleCentre2">
    <w:name w:val="ECHR_Title_Centre_2"/>
    <w:aliases w:val="Dec_H_Case"/>
    <w:basedOn w:val="Normal"/>
    <w:next w:val="ECHRPara"/>
    <w:uiPriority w:val="99"/>
    <w:semiHidden/>
    <w:rsid w:val="00D00414"/>
    <w:pPr>
      <w:spacing w:after="240"/>
      <w:jc w:val="center"/>
      <w:outlineLvl w:val="0"/>
    </w:pPr>
    <w:rPr>
      <w:i/>
    </w:rPr>
  </w:style>
  <w:style w:type="paragraph" w:customStyle="1" w:styleId="JuTitle">
    <w:name w:val="Ju_Title"/>
    <w:basedOn w:val="Normal"/>
    <w:next w:val="ECHRPara"/>
    <w:uiPriority w:val="99"/>
    <w:semiHidden/>
    <w:rsid w:val="00D00414"/>
    <w:pPr>
      <w:spacing w:before="720" w:after="240"/>
      <w:jc w:val="center"/>
      <w:outlineLvl w:val="0"/>
    </w:pPr>
    <w:rPr>
      <w:b/>
      <w:caps/>
    </w:rPr>
  </w:style>
  <w:style w:type="paragraph" w:customStyle="1" w:styleId="ECHRTitleCentre1">
    <w:name w:val="ECHR_Title_Centre_1"/>
    <w:aliases w:val="Opi_H_Head"/>
    <w:basedOn w:val="Normal"/>
    <w:next w:val="OpiPara"/>
    <w:uiPriority w:val="99"/>
    <w:rsid w:val="00D00414"/>
    <w:pPr>
      <w:keepNext/>
      <w:keepLines/>
      <w:spacing w:after="240"/>
      <w:jc w:val="center"/>
      <w:outlineLvl w:val="0"/>
    </w:pPr>
    <w:rPr>
      <w:sz w:val="28"/>
      <w:lang w:val="fr-FR" w:eastAsia="fr-FR"/>
    </w:rPr>
  </w:style>
  <w:style w:type="paragraph" w:customStyle="1" w:styleId="JuQuotSub">
    <w:name w:val="Ju_Quot_Sub"/>
    <w:basedOn w:val="ECHRParaQuote"/>
    <w:uiPriority w:val="99"/>
    <w:rsid w:val="00D00414"/>
    <w:pPr>
      <w:ind w:left="567"/>
    </w:pPr>
  </w:style>
  <w:style w:type="paragraph" w:customStyle="1" w:styleId="JuInitialled">
    <w:name w:val="Ju_Initialled"/>
    <w:basedOn w:val="Normal"/>
    <w:uiPriority w:val="99"/>
    <w:rsid w:val="00D00414"/>
    <w:pPr>
      <w:tabs>
        <w:tab w:val="center" w:pos="6407"/>
      </w:tabs>
      <w:spacing w:before="720"/>
      <w:jc w:val="right"/>
    </w:pPr>
    <w:rPr>
      <w:lang w:val="fr-FR" w:eastAsia="fr-FR"/>
    </w:rPr>
  </w:style>
  <w:style w:type="paragraph" w:customStyle="1" w:styleId="OpiHA">
    <w:name w:val="Opi_H_A"/>
    <w:basedOn w:val="ECHRHeading1"/>
    <w:next w:val="OpiPara"/>
    <w:uiPriority w:val="99"/>
    <w:rsid w:val="00D00414"/>
    <w:pPr>
      <w:tabs>
        <w:tab w:val="clear" w:pos="357"/>
      </w:tabs>
      <w:outlineLvl w:val="1"/>
    </w:pPr>
    <w:rPr>
      <w:b/>
    </w:rPr>
  </w:style>
  <w:style w:type="character" w:customStyle="1" w:styleId="JUNAMES0">
    <w:name w:val="JU_NAMES"/>
    <w:uiPriority w:val="99"/>
    <w:rsid w:val="00D00414"/>
    <w:rPr>
      <w:smallCaps/>
    </w:rPr>
  </w:style>
  <w:style w:type="paragraph" w:customStyle="1" w:styleId="OpiTranslation">
    <w:name w:val="Opi_Translation"/>
    <w:basedOn w:val="Normal"/>
    <w:next w:val="OpiPara"/>
    <w:uiPriority w:val="99"/>
    <w:rsid w:val="00D00414"/>
    <w:pPr>
      <w:jc w:val="center"/>
      <w:outlineLvl w:val="0"/>
    </w:pPr>
    <w:rPr>
      <w:i/>
      <w:lang w:val="fr-FR" w:eastAsia="fr-FR"/>
    </w:rPr>
  </w:style>
  <w:style w:type="paragraph" w:customStyle="1" w:styleId="DecHTitle">
    <w:name w:val="Dec_H_Title"/>
    <w:basedOn w:val="ECHRTitleCentre1"/>
    <w:uiPriority w:val="99"/>
    <w:semiHidden/>
    <w:rsid w:val="00D00414"/>
  </w:style>
  <w:style w:type="paragraph" w:styleId="TOAHeading">
    <w:name w:val="toa heading"/>
    <w:basedOn w:val="Normal"/>
    <w:next w:val="Normal"/>
    <w:uiPriority w:val="99"/>
    <w:semiHidden/>
    <w:rsid w:val="00D00414"/>
    <w:pPr>
      <w:spacing w:before="120"/>
    </w:pPr>
    <w:rPr>
      <w:rFonts w:eastAsia="MS Gothic"/>
      <w:b/>
      <w:bCs/>
      <w:color w:val="474747"/>
      <w:szCs w:val="24"/>
    </w:rPr>
  </w:style>
  <w:style w:type="paragraph" w:customStyle="1" w:styleId="ECHRHeading3">
    <w:name w:val="ECHR_Heading_3"/>
    <w:aliases w:val="Ju_H_1."/>
    <w:basedOn w:val="Heading3"/>
    <w:next w:val="ECHRPara"/>
    <w:uiPriority w:val="99"/>
    <w:rsid w:val="00D0041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D0041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99"/>
    <w:rsid w:val="00D0041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D0041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99"/>
    <w:rsid w:val="00D00414"/>
    <w:pPr>
      <w:keepNext/>
      <w:keepLines/>
      <w:spacing w:before="240" w:after="120"/>
      <w:ind w:left="1236"/>
    </w:pPr>
    <w:rPr>
      <w:sz w:val="20"/>
    </w:rPr>
  </w:style>
  <w:style w:type="paragraph" w:customStyle="1" w:styleId="DecList">
    <w:name w:val="Dec_List"/>
    <w:basedOn w:val="Normal"/>
    <w:uiPriority w:val="99"/>
    <w:semiHidden/>
    <w:rsid w:val="00D00414"/>
    <w:pPr>
      <w:spacing w:before="240"/>
      <w:ind w:left="284"/>
    </w:pPr>
  </w:style>
  <w:style w:type="paragraph" w:customStyle="1" w:styleId="OpiH1">
    <w:name w:val="Opi_H_1"/>
    <w:basedOn w:val="ECHRHeading2"/>
    <w:uiPriority w:val="99"/>
    <w:rsid w:val="00D00414"/>
    <w:pPr>
      <w:ind w:left="635" w:hanging="357"/>
      <w:outlineLvl w:val="2"/>
    </w:pPr>
  </w:style>
  <w:style w:type="paragraph" w:customStyle="1" w:styleId="OpiHa0">
    <w:name w:val="Opi_H_a"/>
    <w:basedOn w:val="ECHRHeading3"/>
    <w:uiPriority w:val="99"/>
    <w:rsid w:val="00D00414"/>
    <w:pPr>
      <w:ind w:left="833" w:hanging="357"/>
      <w:outlineLvl w:val="3"/>
    </w:pPr>
    <w:rPr>
      <w:b/>
      <w:i w:val="0"/>
      <w:sz w:val="20"/>
    </w:rPr>
  </w:style>
  <w:style w:type="paragraph" w:customStyle="1" w:styleId="OpiHi">
    <w:name w:val="Opi_H_i"/>
    <w:basedOn w:val="ECHRHeading4"/>
    <w:uiPriority w:val="99"/>
    <w:rsid w:val="00D00414"/>
    <w:pPr>
      <w:ind w:left="1037" w:hanging="357"/>
      <w:outlineLvl w:val="4"/>
    </w:pPr>
    <w:rPr>
      <w:b w:val="0"/>
      <w:i/>
    </w:rPr>
  </w:style>
  <w:style w:type="paragraph" w:styleId="Bibliography">
    <w:name w:val="Bibliography"/>
    <w:basedOn w:val="Normal"/>
    <w:next w:val="Normal"/>
    <w:uiPriority w:val="99"/>
    <w:semiHidden/>
    <w:rsid w:val="000C4043"/>
  </w:style>
  <w:style w:type="paragraph" w:styleId="BlockText">
    <w:name w:val="Block Text"/>
    <w:basedOn w:val="Normal"/>
    <w:uiPriority w:val="99"/>
    <w:semiHidden/>
    <w:rsid w:val="000C404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0C4043"/>
    <w:pPr>
      <w:spacing w:after="120"/>
    </w:pPr>
  </w:style>
  <w:style w:type="character" w:customStyle="1" w:styleId="BodyTextChar">
    <w:name w:val="Body Text Char"/>
    <w:basedOn w:val="DefaultParagraphFont"/>
    <w:link w:val="BodyText"/>
    <w:uiPriority w:val="99"/>
    <w:locked/>
    <w:rsid w:val="000C4043"/>
    <w:rPr>
      <w:rFonts w:eastAsia="MS Mincho" w:cs="Times New Roman"/>
      <w:sz w:val="24"/>
      <w:lang w:val="en-US" w:eastAsia="en-US"/>
    </w:rPr>
  </w:style>
  <w:style w:type="paragraph" w:styleId="BodyText2">
    <w:name w:val="Body Text 2"/>
    <w:basedOn w:val="Normal"/>
    <w:link w:val="BodyText2Char"/>
    <w:uiPriority w:val="99"/>
    <w:semiHidden/>
    <w:rsid w:val="000C4043"/>
    <w:pPr>
      <w:spacing w:after="120" w:line="480" w:lineRule="auto"/>
    </w:pPr>
  </w:style>
  <w:style w:type="character" w:customStyle="1" w:styleId="BodyText2Char">
    <w:name w:val="Body Text 2 Char"/>
    <w:basedOn w:val="DefaultParagraphFont"/>
    <w:link w:val="BodyText2"/>
    <w:uiPriority w:val="99"/>
    <w:locked/>
    <w:rsid w:val="000C4043"/>
    <w:rPr>
      <w:rFonts w:eastAsia="MS Mincho" w:cs="Times New Roman"/>
      <w:sz w:val="24"/>
      <w:lang w:val="en-US" w:eastAsia="en-US"/>
    </w:rPr>
  </w:style>
  <w:style w:type="paragraph" w:styleId="BodyText3">
    <w:name w:val="Body Text 3"/>
    <w:basedOn w:val="Normal"/>
    <w:link w:val="BodyText3Char"/>
    <w:uiPriority w:val="99"/>
    <w:semiHidden/>
    <w:rsid w:val="000C4043"/>
    <w:pPr>
      <w:spacing w:after="120"/>
    </w:pPr>
    <w:rPr>
      <w:sz w:val="16"/>
      <w:szCs w:val="16"/>
    </w:rPr>
  </w:style>
  <w:style w:type="character" w:customStyle="1" w:styleId="BodyText3Char">
    <w:name w:val="Body Text 3 Char"/>
    <w:basedOn w:val="DefaultParagraphFont"/>
    <w:link w:val="BodyText3"/>
    <w:uiPriority w:val="99"/>
    <w:locked/>
    <w:rsid w:val="000C4043"/>
    <w:rPr>
      <w:rFonts w:eastAsia="MS Mincho" w:cs="Times New Roman"/>
      <w:sz w:val="16"/>
      <w:szCs w:val="16"/>
      <w:lang w:val="en-US" w:eastAsia="en-US"/>
    </w:rPr>
  </w:style>
  <w:style w:type="paragraph" w:styleId="BodyTextFirstIndent">
    <w:name w:val="Body Text First Indent"/>
    <w:basedOn w:val="BodyText"/>
    <w:link w:val="BodyTextFirstIndentChar"/>
    <w:uiPriority w:val="99"/>
    <w:semiHidden/>
    <w:rsid w:val="000C4043"/>
    <w:pPr>
      <w:spacing w:after="0"/>
      <w:ind w:firstLine="360"/>
    </w:pPr>
  </w:style>
  <w:style w:type="character" w:customStyle="1" w:styleId="BodyTextFirstIndentChar">
    <w:name w:val="Body Text First Indent Char"/>
    <w:basedOn w:val="BodyTextChar"/>
    <w:link w:val="BodyTextFirstIndent"/>
    <w:uiPriority w:val="99"/>
    <w:locked/>
    <w:rsid w:val="000C4043"/>
  </w:style>
  <w:style w:type="paragraph" w:styleId="BodyTextIndent">
    <w:name w:val="Body Text Indent"/>
    <w:basedOn w:val="Normal"/>
    <w:link w:val="BodyTextIndentChar"/>
    <w:uiPriority w:val="99"/>
    <w:semiHidden/>
    <w:rsid w:val="000C4043"/>
    <w:pPr>
      <w:spacing w:after="120"/>
      <w:ind w:left="283"/>
    </w:pPr>
  </w:style>
  <w:style w:type="character" w:customStyle="1" w:styleId="BodyTextIndentChar">
    <w:name w:val="Body Text Indent Char"/>
    <w:basedOn w:val="DefaultParagraphFont"/>
    <w:link w:val="BodyTextIndent"/>
    <w:uiPriority w:val="99"/>
    <w:locked/>
    <w:rsid w:val="000C4043"/>
    <w:rPr>
      <w:rFonts w:eastAsia="MS Mincho" w:cs="Times New Roman"/>
      <w:sz w:val="24"/>
      <w:lang w:val="en-US" w:eastAsia="en-US"/>
    </w:rPr>
  </w:style>
  <w:style w:type="paragraph" w:styleId="BodyTextFirstIndent2">
    <w:name w:val="Body Text First Indent 2"/>
    <w:basedOn w:val="BodyTextIndent"/>
    <w:link w:val="BodyTextFirstIndent2Char"/>
    <w:uiPriority w:val="99"/>
    <w:semiHidden/>
    <w:rsid w:val="000C4043"/>
    <w:pPr>
      <w:spacing w:after="0"/>
      <w:ind w:left="360" w:firstLine="360"/>
    </w:pPr>
  </w:style>
  <w:style w:type="character" w:customStyle="1" w:styleId="BodyTextFirstIndent2Char">
    <w:name w:val="Body Text First Indent 2 Char"/>
    <w:basedOn w:val="BodyTextIndentChar"/>
    <w:link w:val="BodyTextFirstIndent2"/>
    <w:uiPriority w:val="99"/>
    <w:locked/>
    <w:rsid w:val="000C4043"/>
  </w:style>
  <w:style w:type="paragraph" w:styleId="BodyTextIndent2">
    <w:name w:val="Body Text Indent 2"/>
    <w:basedOn w:val="Normal"/>
    <w:link w:val="BodyTextIndent2Char"/>
    <w:uiPriority w:val="99"/>
    <w:semiHidden/>
    <w:rsid w:val="000C4043"/>
    <w:pPr>
      <w:spacing w:after="120" w:line="480" w:lineRule="auto"/>
      <w:ind w:left="283"/>
    </w:pPr>
  </w:style>
  <w:style w:type="character" w:customStyle="1" w:styleId="BodyTextIndent2Char">
    <w:name w:val="Body Text Indent 2 Char"/>
    <w:basedOn w:val="DefaultParagraphFont"/>
    <w:link w:val="BodyTextIndent2"/>
    <w:uiPriority w:val="99"/>
    <w:locked/>
    <w:rsid w:val="000C4043"/>
    <w:rPr>
      <w:rFonts w:eastAsia="MS Mincho" w:cs="Times New Roman"/>
      <w:sz w:val="24"/>
      <w:lang w:val="en-US" w:eastAsia="en-US"/>
    </w:rPr>
  </w:style>
  <w:style w:type="paragraph" w:styleId="BodyTextIndent3">
    <w:name w:val="Body Text Indent 3"/>
    <w:basedOn w:val="Normal"/>
    <w:link w:val="BodyTextIndent3Char"/>
    <w:uiPriority w:val="99"/>
    <w:semiHidden/>
    <w:rsid w:val="000C404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C4043"/>
    <w:rPr>
      <w:rFonts w:eastAsia="MS Mincho" w:cs="Times New Roman"/>
      <w:sz w:val="16"/>
      <w:szCs w:val="16"/>
      <w:lang w:val="en-US" w:eastAsia="en-US"/>
    </w:rPr>
  </w:style>
  <w:style w:type="paragraph" w:styleId="Caption">
    <w:name w:val="caption"/>
    <w:basedOn w:val="Normal"/>
    <w:next w:val="Normal"/>
    <w:uiPriority w:val="99"/>
    <w:qFormat/>
    <w:rsid w:val="000C4043"/>
    <w:pPr>
      <w:spacing w:after="200"/>
    </w:pPr>
    <w:rPr>
      <w:b/>
      <w:bCs/>
      <w:color w:val="0072BC"/>
      <w:sz w:val="18"/>
      <w:szCs w:val="18"/>
      <w:lang w:val="fr-FR" w:eastAsia="fr-FR"/>
    </w:rPr>
  </w:style>
  <w:style w:type="paragraph" w:styleId="Closing">
    <w:name w:val="Closing"/>
    <w:basedOn w:val="Normal"/>
    <w:link w:val="ClosingChar"/>
    <w:uiPriority w:val="99"/>
    <w:semiHidden/>
    <w:rsid w:val="000C4043"/>
    <w:pPr>
      <w:ind w:left="4252"/>
    </w:pPr>
  </w:style>
  <w:style w:type="character" w:customStyle="1" w:styleId="ClosingChar">
    <w:name w:val="Closing Char"/>
    <w:basedOn w:val="DefaultParagraphFont"/>
    <w:link w:val="Closing"/>
    <w:uiPriority w:val="99"/>
    <w:locked/>
    <w:rsid w:val="000C4043"/>
    <w:rPr>
      <w:rFonts w:eastAsia="MS Mincho" w:cs="Times New Roman"/>
      <w:sz w:val="24"/>
      <w:lang w:val="en-US" w:eastAsia="en-US"/>
    </w:rPr>
  </w:style>
  <w:style w:type="table" w:styleId="ColorfulGrid">
    <w:name w:val="Colorful Grid"/>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0C4043"/>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0C4043"/>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C4043"/>
  </w:style>
  <w:style w:type="character" w:customStyle="1" w:styleId="DateChar">
    <w:name w:val="Date Char"/>
    <w:basedOn w:val="DefaultParagraphFont"/>
    <w:link w:val="Date"/>
    <w:uiPriority w:val="99"/>
    <w:locked/>
    <w:rsid w:val="000C4043"/>
    <w:rPr>
      <w:rFonts w:eastAsia="MS Mincho" w:cs="Times New Roman"/>
      <w:sz w:val="24"/>
      <w:lang w:val="en-US" w:eastAsia="en-US"/>
    </w:rPr>
  </w:style>
  <w:style w:type="paragraph" w:styleId="E-mailSignature">
    <w:name w:val="E-mail Signature"/>
    <w:basedOn w:val="Normal"/>
    <w:link w:val="E-mailSignatureChar"/>
    <w:uiPriority w:val="99"/>
    <w:semiHidden/>
    <w:rsid w:val="000C4043"/>
  </w:style>
  <w:style w:type="character" w:customStyle="1" w:styleId="E-mailSignatureChar">
    <w:name w:val="E-mail Signature Char"/>
    <w:basedOn w:val="DefaultParagraphFont"/>
    <w:link w:val="E-mailSignature"/>
    <w:uiPriority w:val="99"/>
    <w:locked/>
    <w:rsid w:val="000C4043"/>
    <w:rPr>
      <w:rFonts w:eastAsia="MS Mincho" w:cs="Times New Roman"/>
      <w:sz w:val="24"/>
      <w:lang w:val="en-US" w:eastAsia="en-US"/>
    </w:rPr>
  </w:style>
  <w:style w:type="paragraph" w:styleId="EnvelopeAddress">
    <w:name w:val="envelope address"/>
    <w:basedOn w:val="Normal"/>
    <w:uiPriority w:val="99"/>
    <w:semiHidden/>
    <w:rsid w:val="000C4043"/>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C4043"/>
    <w:rPr>
      <w:rFonts w:eastAsia="MS Gothic"/>
      <w:sz w:val="20"/>
      <w:szCs w:val="20"/>
    </w:rPr>
  </w:style>
  <w:style w:type="character" w:styleId="HTMLAcronym">
    <w:name w:val="HTML Acronym"/>
    <w:basedOn w:val="DefaultParagraphFont"/>
    <w:uiPriority w:val="99"/>
    <w:semiHidden/>
    <w:rsid w:val="000C4043"/>
    <w:rPr>
      <w:rFonts w:cs="Times New Roman"/>
    </w:rPr>
  </w:style>
  <w:style w:type="paragraph" w:styleId="HTMLAddress">
    <w:name w:val="HTML Address"/>
    <w:basedOn w:val="Normal"/>
    <w:link w:val="HTMLAddressChar"/>
    <w:uiPriority w:val="99"/>
    <w:semiHidden/>
    <w:rsid w:val="000C4043"/>
    <w:rPr>
      <w:i/>
      <w:iCs/>
    </w:rPr>
  </w:style>
  <w:style w:type="character" w:customStyle="1" w:styleId="HTMLAddressChar">
    <w:name w:val="HTML Address Char"/>
    <w:basedOn w:val="DefaultParagraphFont"/>
    <w:link w:val="HTMLAddress"/>
    <w:uiPriority w:val="99"/>
    <w:locked/>
    <w:rsid w:val="000C4043"/>
    <w:rPr>
      <w:rFonts w:eastAsia="MS Mincho" w:cs="Times New Roman"/>
      <w:i/>
      <w:iCs/>
      <w:sz w:val="24"/>
      <w:lang w:val="en-US" w:eastAsia="en-US"/>
    </w:rPr>
  </w:style>
  <w:style w:type="character" w:styleId="HTMLCite">
    <w:name w:val="HTML Cite"/>
    <w:basedOn w:val="DefaultParagraphFont"/>
    <w:uiPriority w:val="99"/>
    <w:semiHidden/>
    <w:rsid w:val="000C4043"/>
    <w:rPr>
      <w:rFonts w:cs="Times New Roman"/>
      <w:i/>
      <w:iCs/>
    </w:rPr>
  </w:style>
  <w:style w:type="character" w:styleId="HTMLCode">
    <w:name w:val="HTML Code"/>
    <w:basedOn w:val="DefaultParagraphFont"/>
    <w:uiPriority w:val="99"/>
    <w:semiHidden/>
    <w:rsid w:val="000C4043"/>
    <w:rPr>
      <w:rFonts w:ascii="Consolas" w:hAnsi="Consolas" w:cs="Consolas"/>
      <w:sz w:val="20"/>
      <w:szCs w:val="20"/>
    </w:rPr>
  </w:style>
  <w:style w:type="character" w:styleId="HTMLDefinition">
    <w:name w:val="HTML Definition"/>
    <w:basedOn w:val="DefaultParagraphFont"/>
    <w:uiPriority w:val="99"/>
    <w:semiHidden/>
    <w:rsid w:val="000C4043"/>
    <w:rPr>
      <w:rFonts w:cs="Times New Roman"/>
      <w:i/>
      <w:iCs/>
    </w:rPr>
  </w:style>
  <w:style w:type="character" w:styleId="HTMLKeyboard">
    <w:name w:val="HTML Keyboard"/>
    <w:basedOn w:val="DefaultParagraphFont"/>
    <w:uiPriority w:val="99"/>
    <w:semiHidden/>
    <w:rsid w:val="000C4043"/>
    <w:rPr>
      <w:rFonts w:ascii="Consolas" w:hAnsi="Consolas" w:cs="Consolas"/>
      <w:sz w:val="20"/>
      <w:szCs w:val="20"/>
    </w:rPr>
  </w:style>
  <w:style w:type="paragraph" w:styleId="HTMLPreformatted">
    <w:name w:val="HTML Preformatted"/>
    <w:basedOn w:val="Normal"/>
    <w:link w:val="HTMLPreformattedChar"/>
    <w:uiPriority w:val="99"/>
    <w:semiHidden/>
    <w:rsid w:val="000C4043"/>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0C4043"/>
    <w:rPr>
      <w:rFonts w:ascii="Consolas" w:eastAsia="MS Mincho" w:hAnsi="Consolas" w:cs="Consolas"/>
      <w:sz w:val="20"/>
      <w:szCs w:val="20"/>
      <w:lang w:val="en-US" w:eastAsia="en-US"/>
    </w:rPr>
  </w:style>
  <w:style w:type="character" w:styleId="HTMLSample">
    <w:name w:val="HTML Sample"/>
    <w:basedOn w:val="DefaultParagraphFont"/>
    <w:uiPriority w:val="99"/>
    <w:semiHidden/>
    <w:rsid w:val="000C4043"/>
    <w:rPr>
      <w:rFonts w:ascii="Consolas" w:hAnsi="Consolas" w:cs="Consolas"/>
      <w:sz w:val="24"/>
      <w:szCs w:val="24"/>
    </w:rPr>
  </w:style>
  <w:style w:type="character" w:styleId="HTMLTypewriter">
    <w:name w:val="HTML Typewriter"/>
    <w:basedOn w:val="DefaultParagraphFont"/>
    <w:uiPriority w:val="99"/>
    <w:semiHidden/>
    <w:rsid w:val="000C4043"/>
    <w:rPr>
      <w:rFonts w:ascii="Consolas" w:hAnsi="Consolas" w:cs="Consolas"/>
      <w:sz w:val="20"/>
      <w:szCs w:val="20"/>
    </w:rPr>
  </w:style>
  <w:style w:type="character" w:styleId="HTMLVariable">
    <w:name w:val="HTML Variable"/>
    <w:basedOn w:val="DefaultParagraphFont"/>
    <w:uiPriority w:val="99"/>
    <w:semiHidden/>
    <w:rsid w:val="000C4043"/>
    <w:rPr>
      <w:rFonts w:cs="Times New Roman"/>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IndexHeading">
    <w:name w:val="index heading"/>
    <w:basedOn w:val="Normal"/>
    <w:next w:val="Index1"/>
    <w:uiPriority w:val="99"/>
    <w:semiHidden/>
    <w:rsid w:val="000C4043"/>
    <w:rPr>
      <w:rFonts w:eastAsia="MS Gothic"/>
      <w:b/>
      <w:bCs/>
    </w:rPr>
  </w:style>
  <w:style w:type="table" w:styleId="LightGrid">
    <w:name w:val="Light Grid"/>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C4043"/>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C4043"/>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C4043"/>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C4043"/>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C4043"/>
    <w:rPr>
      <w:rFonts w:cs="Times New Roman"/>
    </w:rPr>
  </w:style>
  <w:style w:type="paragraph" w:styleId="List">
    <w:name w:val="List"/>
    <w:basedOn w:val="Normal"/>
    <w:uiPriority w:val="99"/>
    <w:semiHidden/>
    <w:rsid w:val="000C4043"/>
    <w:pPr>
      <w:ind w:left="283" w:hanging="283"/>
      <w:contextualSpacing/>
    </w:pPr>
  </w:style>
  <w:style w:type="paragraph" w:styleId="List2">
    <w:name w:val="List 2"/>
    <w:basedOn w:val="Normal"/>
    <w:uiPriority w:val="99"/>
    <w:semiHidden/>
    <w:rsid w:val="000C4043"/>
    <w:pPr>
      <w:ind w:left="566" w:hanging="283"/>
      <w:contextualSpacing/>
    </w:pPr>
  </w:style>
  <w:style w:type="paragraph" w:styleId="List3">
    <w:name w:val="List 3"/>
    <w:basedOn w:val="Normal"/>
    <w:uiPriority w:val="99"/>
    <w:semiHidden/>
    <w:rsid w:val="000C4043"/>
    <w:pPr>
      <w:ind w:left="849" w:hanging="283"/>
      <w:contextualSpacing/>
    </w:pPr>
  </w:style>
  <w:style w:type="paragraph" w:styleId="List4">
    <w:name w:val="List 4"/>
    <w:basedOn w:val="Normal"/>
    <w:uiPriority w:val="99"/>
    <w:semiHidden/>
    <w:rsid w:val="000C4043"/>
    <w:pPr>
      <w:ind w:left="1132" w:hanging="283"/>
      <w:contextualSpacing/>
    </w:pPr>
  </w:style>
  <w:style w:type="paragraph" w:styleId="List5">
    <w:name w:val="List 5"/>
    <w:basedOn w:val="Normal"/>
    <w:uiPriority w:val="99"/>
    <w:semiHidden/>
    <w:rsid w:val="000C4043"/>
    <w:pPr>
      <w:ind w:left="1415" w:hanging="283"/>
      <w:contextualSpacing/>
    </w:pPr>
  </w:style>
  <w:style w:type="paragraph" w:styleId="ListBullet2">
    <w:name w:val="List Bullet 2"/>
    <w:basedOn w:val="Normal"/>
    <w:uiPriority w:val="99"/>
    <w:semiHidden/>
    <w:rsid w:val="000C4043"/>
    <w:pPr>
      <w:numPr>
        <w:numId w:val="16"/>
      </w:numPr>
      <w:tabs>
        <w:tab w:val="clear" w:pos="360"/>
        <w:tab w:val="num" w:pos="643"/>
      </w:tabs>
      <w:ind w:left="643"/>
      <w:contextualSpacing/>
    </w:pPr>
  </w:style>
  <w:style w:type="paragraph" w:styleId="ListBullet3">
    <w:name w:val="List Bullet 3"/>
    <w:basedOn w:val="Normal"/>
    <w:uiPriority w:val="99"/>
    <w:semiHidden/>
    <w:rsid w:val="000C4043"/>
    <w:pPr>
      <w:numPr>
        <w:numId w:val="17"/>
      </w:numPr>
      <w:tabs>
        <w:tab w:val="clear" w:pos="643"/>
        <w:tab w:val="num" w:pos="926"/>
      </w:tabs>
      <w:ind w:left="926"/>
      <w:contextualSpacing/>
    </w:pPr>
  </w:style>
  <w:style w:type="paragraph" w:styleId="ListBullet4">
    <w:name w:val="List Bullet 4"/>
    <w:basedOn w:val="Normal"/>
    <w:uiPriority w:val="99"/>
    <w:semiHidden/>
    <w:rsid w:val="000C4043"/>
    <w:pPr>
      <w:numPr>
        <w:numId w:val="18"/>
      </w:numPr>
      <w:tabs>
        <w:tab w:val="clear" w:pos="926"/>
        <w:tab w:val="num" w:pos="1209"/>
      </w:tabs>
      <w:ind w:left="1209"/>
      <w:contextualSpacing/>
    </w:pPr>
  </w:style>
  <w:style w:type="paragraph" w:styleId="ListBullet5">
    <w:name w:val="List Bullet 5"/>
    <w:basedOn w:val="Normal"/>
    <w:uiPriority w:val="99"/>
    <w:semiHidden/>
    <w:rsid w:val="000C4043"/>
    <w:pPr>
      <w:numPr>
        <w:numId w:val="19"/>
      </w:numPr>
      <w:tabs>
        <w:tab w:val="clear" w:pos="1209"/>
        <w:tab w:val="num" w:pos="1492"/>
      </w:tabs>
      <w:ind w:left="1492"/>
      <w:contextualSpacing/>
    </w:pPr>
  </w:style>
  <w:style w:type="paragraph" w:styleId="ListContinue">
    <w:name w:val="List Continue"/>
    <w:basedOn w:val="Normal"/>
    <w:uiPriority w:val="99"/>
    <w:semiHidden/>
    <w:rsid w:val="000C4043"/>
    <w:pPr>
      <w:spacing w:after="120"/>
      <w:ind w:left="283"/>
      <w:contextualSpacing/>
    </w:pPr>
  </w:style>
  <w:style w:type="paragraph" w:styleId="ListContinue2">
    <w:name w:val="List Continue 2"/>
    <w:basedOn w:val="Normal"/>
    <w:uiPriority w:val="99"/>
    <w:semiHidden/>
    <w:rsid w:val="000C4043"/>
    <w:pPr>
      <w:spacing w:after="120"/>
      <w:ind w:left="566"/>
      <w:contextualSpacing/>
    </w:pPr>
  </w:style>
  <w:style w:type="paragraph" w:styleId="ListContinue3">
    <w:name w:val="List Continue 3"/>
    <w:basedOn w:val="Normal"/>
    <w:uiPriority w:val="99"/>
    <w:semiHidden/>
    <w:rsid w:val="000C4043"/>
    <w:pPr>
      <w:spacing w:after="120"/>
      <w:ind w:left="849"/>
      <w:contextualSpacing/>
    </w:pPr>
  </w:style>
  <w:style w:type="paragraph" w:styleId="ListContinue4">
    <w:name w:val="List Continue 4"/>
    <w:basedOn w:val="Normal"/>
    <w:uiPriority w:val="99"/>
    <w:semiHidden/>
    <w:rsid w:val="000C4043"/>
    <w:pPr>
      <w:spacing w:after="120"/>
      <w:ind w:left="1132"/>
      <w:contextualSpacing/>
    </w:pPr>
  </w:style>
  <w:style w:type="paragraph" w:styleId="ListContinue5">
    <w:name w:val="List Continue 5"/>
    <w:basedOn w:val="Normal"/>
    <w:uiPriority w:val="99"/>
    <w:semiHidden/>
    <w:rsid w:val="000C4043"/>
    <w:pPr>
      <w:spacing w:after="120"/>
      <w:ind w:left="1415"/>
      <w:contextualSpacing/>
    </w:pPr>
  </w:style>
  <w:style w:type="paragraph" w:styleId="ListNumber">
    <w:name w:val="List Number"/>
    <w:basedOn w:val="Normal"/>
    <w:uiPriority w:val="99"/>
    <w:semiHidden/>
    <w:rsid w:val="000C4043"/>
    <w:pPr>
      <w:numPr>
        <w:numId w:val="20"/>
      </w:numPr>
      <w:tabs>
        <w:tab w:val="clear" w:pos="1492"/>
        <w:tab w:val="num" w:pos="360"/>
      </w:tabs>
      <w:ind w:left="360"/>
      <w:contextualSpacing/>
    </w:pPr>
  </w:style>
  <w:style w:type="paragraph" w:styleId="ListNumber2">
    <w:name w:val="List Number 2"/>
    <w:basedOn w:val="Normal"/>
    <w:uiPriority w:val="99"/>
    <w:semiHidden/>
    <w:rsid w:val="000C4043"/>
    <w:pPr>
      <w:numPr>
        <w:numId w:val="21"/>
      </w:numPr>
      <w:tabs>
        <w:tab w:val="clear" w:pos="360"/>
        <w:tab w:val="num" w:pos="643"/>
      </w:tabs>
      <w:ind w:left="643"/>
      <w:contextualSpacing/>
    </w:pPr>
  </w:style>
  <w:style w:type="paragraph" w:styleId="ListNumber3">
    <w:name w:val="List Number 3"/>
    <w:basedOn w:val="Normal"/>
    <w:uiPriority w:val="99"/>
    <w:semiHidden/>
    <w:rsid w:val="000C4043"/>
    <w:pPr>
      <w:numPr>
        <w:numId w:val="22"/>
      </w:numPr>
      <w:tabs>
        <w:tab w:val="clear" w:pos="720"/>
        <w:tab w:val="num" w:pos="926"/>
      </w:tabs>
      <w:ind w:left="926"/>
      <w:contextualSpacing/>
    </w:pPr>
  </w:style>
  <w:style w:type="paragraph" w:styleId="ListNumber4">
    <w:name w:val="List Number 4"/>
    <w:basedOn w:val="Normal"/>
    <w:uiPriority w:val="99"/>
    <w:semiHidden/>
    <w:rsid w:val="000C4043"/>
    <w:pPr>
      <w:numPr>
        <w:numId w:val="23"/>
      </w:numPr>
      <w:tabs>
        <w:tab w:val="num" w:pos="1209"/>
      </w:tabs>
      <w:ind w:left="1209"/>
      <w:contextualSpacing/>
    </w:pPr>
  </w:style>
  <w:style w:type="paragraph" w:styleId="ListNumber5">
    <w:name w:val="List Number 5"/>
    <w:basedOn w:val="Normal"/>
    <w:uiPriority w:val="99"/>
    <w:semiHidden/>
    <w:rsid w:val="000C4043"/>
    <w:pPr>
      <w:numPr>
        <w:numId w:val="24"/>
      </w:numPr>
      <w:tabs>
        <w:tab w:val="num" w:pos="1492"/>
      </w:tabs>
      <w:ind w:left="1492"/>
      <w:contextualSpacing/>
    </w:pPr>
  </w:style>
  <w:style w:type="paragraph" w:styleId="MacroText">
    <w:name w:val="macro"/>
    <w:link w:val="MacroTextCh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0C4043"/>
    <w:rPr>
      <w:rFonts w:ascii="Consolas" w:eastAsia="MS Mincho" w:hAnsi="Consolas" w:cs="Consolas"/>
      <w:lang w:val="en-US" w:eastAsia="en-US" w:bidi="ar-SA"/>
    </w:rPr>
  </w:style>
  <w:style w:type="table" w:styleId="MediumGrid1">
    <w:name w:val="Medium Grid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0C4043"/>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0C4043"/>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0C4043"/>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0C4043"/>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0C4043"/>
    <w:rPr>
      <w:rFonts w:ascii="Times New Roman" w:eastAsia="MS Gothic" w:hAnsi="Times New Roman" w:cs="Times New Roman"/>
      <w:sz w:val="24"/>
      <w:szCs w:val="24"/>
      <w:shd w:val="pct20" w:color="auto" w:fill="auto"/>
      <w:lang w:val="en-US" w:eastAsia="en-US"/>
    </w:rPr>
  </w:style>
  <w:style w:type="paragraph" w:styleId="NormalWeb">
    <w:name w:val="Normal (Web)"/>
    <w:basedOn w:val="Normal"/>
    <w:uiPriority w:val="99"/>
    <w:semiHidden/>
    <w:rsid w:val="000C4043"/>
    <w:rPr>
      <w:szCs w:val="24"/>
    </w:rPr>
  </w:style>
  <w:style w:type="paragraph" w:styleId="NormalIndent">
    <w:name w:val="Normal Indent"/>
    <w:basedOn w:val="Normal"/>
    <w:uiPriority w:val="99"/>
    <w:semiHidden/>
    <w:rsid w:val="000C4043"/>
    <w:pPr>
      <w:ind w:left="720"/>
    </w:pPr>
  </w:style>
  <w:style w:type="paragraph" w:styleId="NoteHeading">
    <w:name w:val="Note Heading"/>
    <w:basedOn w:val="Normal"/>
    <w:next w:val="Normal"/>
    <w:link w:val="NoteHeadingChar"/>
    <w:uiPriority w:val="99"/>
    <w:semiHidden/>
    <w:rsid w:val="000C4043"/>
  </w:style>
  <w:style w:type="character" w:customStyle="1" w:styleId="NoteHeadingChar">
    <w:name w:val="Note Heading Char"/>
    <w:basedOn w:val="DefaultParagraphFont"/>
    <w:link w:val="NoteHeading"/>
    <w:uiPriority w:val="99"/>
    <w:locked/>
    <w:rsid w:val="000C4043"/>
    <w:rPr>
      <w:rFonts w:eastAsia="MS Mincho" w:cs="Times New Roman"/>
      <w:sz w:val="24"/>
      <w:lang w:val="en-US" w:eastAsia="en-US"/>
    </w:rPr>
  </w:style>
  <w:style w:type="character" w:styleId="PlaceholderText">
    <w:name w:val="Placeholder Text"/>
    <w:basedOn w:val="DefaultParagraphFont"/>
    <w:uiPriority w:val="99"/>
    <w:semiHidden/>
    <w:rsid w:val="000C4043"/>
    <w:rPr>
      <w:rFonts w:cs="Times New Roman"/>
      <w:color w:val="808080"/>
    </w:rPr>
  </w:style>
  <w:style w:type="paragraph" w:styleId="PlainText">
    <w:name w:val="Plain Text"/>
    <w:basedOn w:val="Normal"/>
    <w:link w:val="PlainTextChar"/>
    <w:uiPriority w:val="99"/>
    <w:semiHidden/>
    <w:rsid w:val="000C4043"/>
    <w:rPr>
      <w:rFonts w:ascii="Consolas" w:hAnsi="Consolas" w:cs="Consolas"/>
      <w:sz w:val="21"/>
      <w:szCs w:val="21"/>
    </w:rPr>
  </w:style>
  <w:style w:type="character" w:customStyle="1" w:styleId="PlainTextChar">
    <w:name w:val="Plain Text Char"/>
    <w:basedOn w:val="DefaultParagraphFont"/>
    <w:link w:val="PlainText"/>
    <w:uiPriority w:val="99"/>
    <w:locked/>
    <w:rsid w:val="000C4043"/>
    <w:rPr>
      <w:rFonts w:ascii="Consolas" w:eastAsia="MS Mincho" w:hAnsi="Consolas" w:cs="Consolas"/>
      <w:sz w:val="21"/>
      <w:szCs w:val="21"/>
      <w:lang w:val="en-US" w:eastAsia="en-US"/>
    </w:rPr>
  </w:style>
  <w:style w:type="paragraph" w:styleId="Salutation">
    <w:name w:val="Salutation"/>
    <w:basedOn w:val="Normal"/>
    <w:next w:val="Normal"/>
    <w:link w:val="SalutationChar"/>
    <w:uiPriority w:val="99"/>
    <w:semiHidden/>
    <w:rsid w:val="000C4043"/>
  </w:style>
  <w:style w:type="character" w:customStyle="1" w:styleId="SalutationChar">
    <w:name w:val="Salutation Char"/>
    <w:basedOn w:val="DefaultParagraphFont"/>
    <w:link w:val="Salutation"/>
    <w:uiPriority w:val="99"/>
    <w:locked/>
    <w:rsid w:val="000C4043"/>
    <w:rPr>
      <w:rFonts w:eastAsia="MS Mincho" w:cs="Times New Roman"/>
      <w:sz w:val="24"/>
      <w:lang w:val="en-US" w:eastAsia="en-US"/>
    </w:rPr>
  </w:style>
  <w:style w:type="paragraph" w:styleId="Signature">
    <w:name w:val="Signature"/>
    <w:basedOn w:val="Normal"/>
    <w:link w:val="SignatureChar"/>
    <w:uiPriority w:val="99"/>
    <w:semiHidden/>
    <w:rsid w:val="000C4043"/>
    <w:pPr>
      <w:ind w:left="4252"/>
    </w:pPr>
  </w:style>
  <w:style w:type="character" w:customStyle="1" w:styleId="SignatureChar">
    <w:name w:val="Signature Char"/>
    <w:basedOn w:val="DefaultParagraphFont"/>
    <w:link w:val="Signature"/>
    <w:uiPriority w:val="99"/>
    <w:locked/>
    <w:rsid w:val="000C4043"/>
    <w:rPr>
      <w:rFonts w:eastAsia="MS Mincho" w:cs="Times New Roman"/>
      <w:sz w:val="24"/>
      <w:lang w:val="en-US" w:eastAsia="en-US"/>
    </w:rPr>
  </w:style>
  <w:style w:type="table" w:styleId="Table3Deffects1">
    <w:name w:val="Table 3D effects 1"/>
    <w:basedOn w:val="TableNormal"/>
    <w:uiPriority w:val="99"/>
    <w:semiHidden/>
    <w:rsid w:val="000C4043"/>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4043"/>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4043"/>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4043"/>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4043"/>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4043"/>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4043"/>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4043"/>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4043"/>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4043"/>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4043"/>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C4043"/>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C4043"/>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4043"/>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4043"/>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4043"/>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4043"/>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C4043"/>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C4043"/>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4043"/>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4043"/>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4043"/>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4043"/>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C4043"/>
    <w:pPr>
      <w:ind w:left="240" w:hanging="240"/>
    </w:pPr>
  </w:style>
  <w:style w:type="paragraph" w:styleId="TableofFigures">
    <w:name w:val="table of figures"/>
    <w:basedOn w:val="Normal"/>
    <w:next w:val="Normal"/>
    <w:uiPriority w:val="99"/>
    <w:semiHidden/>
    <w:rsid w:val="000C4043"/>
  </w:style>
  <w:style w:type="table" w:styleId="TableProfessional">
    <w:name w:val="Table Professional"/>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4043"/>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4043"/>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4043"/>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4043"/>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C4043"/>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4043"/>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4043"/>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C4043"/>
    <w:pPr>
      <w:spacing w:after="100"/>
      <w:ind w:left="1200"/>
    </w:pPr>
  </w:style>
  <w:style w:type="paragraph" w:styleId="TOC7">
    <w:name w:val="toc 7"/>
    <w:basedOn w:val="Normal"/>
    <w:next w:val="Normal"/>
    <w:autoRedefine/>
    <w:uiPriority w:val="99"/>
    <w:semiHidden/>
    <w:rsid w:val="000C4043"/>
    <w:pPr>
      <w:spacing w:after="100"/>
      <w:ind w:left="1440"/>
    </w:pPr>
  </w:style>
  <w:style w:type="paragraph" w:styleId="TOC8">
    <w:name w:val="toc 8"/>
    <w:basedOn w:val="Normal"/>
    <w:next w:val="Normal"/>
    <w:autoRedefine/>
    <w:uiPriority w:val="99"/>
    <w:semiHidden/>
    <w:rsid w:val="000C4043"/>
    <w:pPr>
      <w:spacing w:after="100"/>
      <w:ind w:left="1680"/>
    </w:pPr>
  </w:style>
  <w:style w:type="paragraph" w:styleId="TOC9">
    <w:name w:val="toc 9"/>
    <w:basedOn w:val="Normal"/>
    <w:next w:val="Normal"/>
    <w:autoRedefine/>
    <w:uiPriority w:val="99"/>
    <w:semiHidden/>
    <w:rsid w:val="000C4043"/>
    <w:pPr>
      <w:spacing w:after="100"/>
      <w:ind w:left="1920"/>
    </w:pPr>
  </w:style>
  <w:style w:type="character" w:customStyle="1" w:styleId="JuParaChar">
    <w:name w:val="Ju_Para Char"/>
    <w:basedOn w:val="DefaultParagraphFont"/>
    <w:uiPriority w:val="99"/>
    <w:rsid w:val="00092931"/>
    <w:rPr>
      <w:rFonts w:cs="Times New Roman"/>
      <w:sz w:val="24"/>
      <w:lang w:val="fr-FR" w:eastAsia="fr-FR" w:bidi="ar-SA"/>
    </w:rPr>
  </w:style>
  <w:style w:type="paragraph" w:styleId="Revision">
    <w:name w:val="Revision"/>
    <w:hidden/>
    <w:uiPriority w:val="99"/>
    <w:semiHidden/>
    <w:rsid w:val="00D30B45"/>
    <w:rPr>
      <w:rFonts w:eastAsia="MS Mincho"/>
      <w:sz w:val="24"/>
      <w:lang w:val="en-US" w:eastAsia="en-US"/>
    </w:rPr>
  </w:style>
  <w:style w:type="numbering" w:styleId="1ai">
    <w:name w:val="Outline List 1"/>
    <w:basedOn w:val="NoList"/>
    <w:uiPriority w:val="99"/>
    <w:semiHidden/>
    <w:unhideWhenUsed/>
    <w:rsid w:val="00B667EB"/>
    <w:pPr>
      <w:numPr>
        <w:numId w:val="24"/>
      </w:numPr>
    </w:pPr>
  </w:style>
  <w:style w:type="numbering" w:styleId="111111">
    <w:name w:val="Outline List 2"/>
    <w:basedOn w:val="NoList"/>
    <w:uiPriority w:val="99"/>
    <w:semiHidden/>
    <w:unhideWhenUsed/>
    <w:rsid w:val="00B667EB"/>
    <w:pPr>
      <w:numPr>
        <w:numId w:val="23"/>
      </w:numPr>
    </w:pPr>
  </w:style>
  <w:style w:type="numbering" w:styleId="ArticleSection">
    <w:name w:val="Outline List 3"/>
    <w:basedOn w:val="NoList"/>
    <w:uiPriority w:val="99"/>
    <w:semiHidden/>
    <w:unhideWhenUsed/>
    <w:rsid w:val="00B667EB"/>
    <w:pPr>
      <w:numPr>
        <w:numId w:val="25"/>
      </w:numPr>
    </w:pPr>
  </w:style>
</w:styles>
</file>

<file path=word/webSettings.xml><?xml version="1.0" encoding="utf-8"?>
<w:webSettings xmlns:r="http://schemas.openxmlformats.org/officeDocument/2006/relationships" xmlns:w="http://schemas.openxmlformats.org/wordprocessingml/2006/main">
  <w:divs>
    <w:div w:id="1034959333">
      <w:marLeft w:val="0"/>
      <w:marRight w:val="0"/>
      <w:marTop w:val="0"/>
      <w:marBottom w:val="0"/>
      <w:divBdr>
        <w:top w:val="none" w:sz="0" w:space="0" w:color="auto"/>
        <w:left w:val="none" w:sz="0" w:space="0" w:color="auto"/>
        <w:bottom w:val="none" w:sz="0" w:space="0" w:color="auto"/>
        <w:right w:val="none" w:sz="0" w:space="0" w:color="auto"/>
      </w:divBdr>
      <w:divsChild>
        <w:div w:id="1034959344">
          <w:marLeft w:val="0"/>
          <w:marRight w:val="0"/>
          <w:marTop w:val="0"/>
          <w:marBottom w:val="0"/>
          <w:divBdr>
            <w:top w:val="none" w:sz="0" w:space="0" w:color="auto"/>
            <w:left w:val="none" w:sz="0" w:space="0" w:color="auto"/>
            <w:bottom w:val="none" w:sz="0" w:space="0" w:color="auto"/>
            <w:right w:val="none" w:sz="0" w:space="0" w:color="auto"/>
          </w:divBdr>
          <w:divsChild>
            <w:div w:id="1034959347">
              <w:marLeft w:val="0"/>
              <w:marRight w:val="0"/>
              <w:marTop w:val="0"/>
              <w:marBottom w:val="0"/>
              <w:divBdr>
                <w:top w:val="none" w:sz="0" w:space="0" w:color="auto"/>
                <w:left w:val="none" w:sz="0" w:space="0" w:color="auto"/>
                <w:bottom w:val="none" w:sz="0" w:space="0" w:color="auto"/>
                <w:right w:val="none" w:sz="0" w:space="0" w:color="auto"/>
              </w:divBdr>
              <w:divsChild>
                <w:div w:id="1034959342">
                  <w:marLeft w:val="0"/>
                  <w:marRight w:val="0"/>
                  <w:marTop w:val="0"/>
                  <w:marBottom w:val="0"/>
                  <w:divBdr>
                    <w:top w:val="none" w:sz="0" w:space="0" w:color="auto"/>
                    <w:left w:val="none" w:sz="0" w:space="0" w:color="auto"/>
                    <w:bottom w:val="none" w:sz="0" w:space="0" w:color="auto"/>
                    <w:right w:val="none" w:sz="0" w:space="0" w:color="auto"/>
                  </w:divBdr>
                  <w:divsChild>
                    <w:div w:id="1034959334">
                      <w:marLeft w:val="0"/>
                      <w:marRight w:val="0"/>
                      <w:marTop w:val="0"/>
                      <w:marBottom w:val="0"/>
                      <w:divBdr>
                        <w:top w:val="none" w:sz="0" w:space="0" w:color="auto"/>
                        <w:left w:val="none" w:sz="0" w:space="0" w:color="auto"/>
                        <w:bottom w:val="none" w:sz="0" w:space="0" w:color="auto"/>
                        <w:right w:val="none" w:sz="0" w:space="0" w:color="auto"/>
                      </w:divBdr>
                      <w:divsChild>
                        <w:div w:id="1034959339">
                          <w:marLeft w:val="0"/>
                          <w:marRight w:val="0"/>
                          <w:marTop w:val="0"/>
                          <w:marBottom w:val="0"/>
                          <w:divBdr>
                            <w:top w:val="none" w:sz="0" w:space="0" w:color="auto"/>
                            <w:left w:val="none" w:sz="0" w:space="0" w:color="auto"/>
                            <w:bottom w:val="none" w:sz="0" w:space="0" w:color="auto"/>
                            <w:right w:val="none" w:sz="0" w:space="0" w:color="auto"/>
                          </w:divBdr>
                          <w:divsChild>
                            <w:div w:id="10349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59337">
      <w:marLeft w:val="0"/>
      <w:marRight w:val="0"/>
      <w:marTop w:val="0"/>
      <w:marBottom w:val="0"/>
      <w:divBdr>
        <w:top w:val="none" w:sz="0" w:space="0" w:color="auto"/>
        <w:left w:val="none" w:sz="0" w:space="0" w:color="auto"/>
        <w:bottom w:val="none" w:sz="0" w:space="0" w:color="auto"/>
        <w:right w:val="none" w:sz="0" w:space="0" w:color="auto"/>
      </w:divBdr>
      <w:divsChild>
        <w:div w:id="1034959338">
          <w:marLeft w:val="0"/>
          <w:marRight w:val="0"/>
          <w:marTop w:val="0"/>
          <w:marBottom w:val="0"/>
          <w:divBdr>
            <w:top w:val="none" w:sz="0" w:space="0" w:color="auto"/>
            <w:left w:val="none" w:sz="0" w:space="0" w:color="auto"/>
            <w:bottom w:val="none" w:sz="0" w:space="0" w:color="auto"/>
            <w:right w:val="none" w:sz="0" w:space="0" w:color="auto"/>
          </w:divBdr>
          <w:divsChild>
            <w:div w:id="1034959336">
              <w:marLeft w:val="0"/>
              <w:marRight w:val="0"/>
              <w:marTop w:val="0"/>
              <w:marBottom w:val="0"/>
              <w:divBdr>
                <w:top w:val="none" w:sz="0" w:space="0" w:color="auto"/>
                <w:left w:val="none" w:sz="0" w:space="0" w:color="auto"/>
                <w:bottom w:val="none" w:sz="0" w:space="0" w:color="auto"/>
                <w:right w:val="none" w:sz="0" w:space="0" w:color="auto"/>
              </w:divBdr>
              <w:divsChild>
                <w:div w:id="1034959340">
                  <w:marLeft w:val="0"/>
                  <w:marRight w:val="0"/>
                  <w:marTop w:val="0"/>
                  <w:marBottom w:val="0"/>
                  <w:divBdr>
                    <w:top w:val="none" w:sz="0" w:space="0" w:color="auto"/>
                    <w:left w:val="none" w:sz="0" w:space="0" w:color="auto"/>
                    <w:bottom w:val="none" w:sz="0" w:space="0" w:color="auto"/>
                    <w:right w:val="none" w:sz="0" w:space="0" w:color="auto"/>
                  </w:divBdr>
                  <w:divsChild>
                    <w:div w:id="1034959345">
                      <w:marLeft w:val="0"/>
                      <w:marRight w:val="0"/>
                      <w:marTop w:val="0"/>
                      <w:marBottom w:val="0"/>
                      <w:divBdr>
                        <w:top w:val="none" w:sz="0" w:space="0" w:color="auto"/>
                        <w:left w:val="none" w:sz="0" w:space="0" w:color="auto"/>
                        <w:bottom w:val="none" w:sz="0" w:space="0" w:color="auto"/>
                        <w:right w:val="none" w:sz="0" w:space="0" w:color="auto"/>
                      </w:divBdr>
                      <w:divsChild>
                        <w:div w:id="1034959332">
                          <w:marLeft w:val="0"/>
                          <w:marRight w:val="0"/>
                          <w:marTop w:val="0"/>
                          <w:marBottom w:val="0"/>
                          <w:divBdr>
                            <w:top w:val="none" w:sz="0" w:space="0" w:color="auto"/>
                            <w:left w:val="none" w:sz="0" w:space="0" w:color="auto"/>
                            <w:bottom w:val="none" w:sz="0" w:space="0" w:color="auto"/>
                            <w:right w:val="none" w:sz="0" w:space="0" w:color="auto"/>
                          </w:divBdr>
                          <w:divsChild>
                            <w:div w:id="1034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59341">
      <w:marLeft w:val="0"/>
      <w:marRight w:val="0"/>
      <w:marTop w:val="0"/>
      <w:marBottom w:val="0"/>
      <w:divBdr>
        <w:top w:val="none" w:sz="0" w:space="0" w:color="auto"/>
        <w:left w:val="none" w:sz="0" w:space="0" w:color="auto"/>
        <w:bottom w:val="none" w:sz="0" w:space="0" w:color="auto"/>
        <w:right w:val="none" w:sz="0" w:space="0" w:color="auto"/>
      </w:divBdr>
    </w:div>
    <w:div w:id="1034959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udoc.echr.coe.int/sites/eng/Pages/search.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hudoc.echr.coe.int/sites/eng/Pages/search.aspx"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doc.echr.coe.int/sites/eng/Pages/search.aspx"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hudoc.echr.coe.int/sites/eng/Pages/search.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3943</Words>
  <Characters>22481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cp:lastPrinted>2014-06-24T10:37:00Z</cp:lastPrinted>
  <dcterms:created xsi:type="dcterms:W3CDTF">2014-08-06T10:55:00Z</dcterms:created>
  <dcterms:modified xsi:type="dcterms:W3CDTF">2014-08-06T10:55:00Z</dcterms:modified>
  <cp:category>ECHR Template</cp:category>
</cp:coreProperties>
</file>